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2FA50" w14:textId="38498320" w:rsidR="005B45F7" w:rsidRPr="005B45F7" w:rsidRDefault="005B45F7" w:rsidP="005B45F7">
      <w:pPr>
        <w:pStyle w:val="Header"/>
      </w:pPr>
      <w:r w:rsidRPr="005B45F7">
        <w:t>3GPP TSG-RAN WG1 AH_NR Meeting</w:t>
      </w:r>
      <w:r w:rsidRPr="005B45F7">
        <w:tab/>
      </w:r>
      <w:r>
        <w:tab/>
      </w:r>
      <w:r w:rsidR="00D22F05" w:rsidRPr="00D22F05">
        <w:t>R1-1701131</w:t>
      </w:r>
      <w:bookmarkStart w:id="0" w:name="_GoBack"/>
      <w:bookmarkEnd w:id="0"/>
    </w:p>
    <w:p w14:paraId="13B9B09F" w14:textId="77777777" w:rsidR="005B45F7" w:rsidRPr="005B45F7" w:rsidRDefault="005B45F7" w:rsidP="005B45F7">
      <w:pPr>
        <w:pStyle w:val="Header"/>
        <w:rPr>
          <w:lang w:val="en-GB"/>
        </w:rPr>
      </w:pPr>
      <w:r w:rsidRPr="005B45F7">
        <w:rPr>
          <w:lang w:val="en-GB"/>
        </w:rPr>
        <w:t>Spokane, USA, 16</w:t>
      </w:r>
      <w:r w:rsidRPr="005B45F7">
        <w:rPr>
          <w:vertAlign w:val="superscript"/>
          <w:lang w:val="en-GB"/>
        </w:rPr>
        <w:t>th</w:t>
      </w:r>
      <w:r w:rsidRPr="005B45F7">
        <w:rPr>
          <w:lang w:val="en-GB"/>
        </w:rPr>
        <w:t xml:space="preserve"> – 20</w:t>
      </w:r>
      <w:r w:rsidRPr="005B45F7">
        <w:rPr>
          <w:vertAlign w:val="superscript"/>
          <w:lang w:val="en-GB"/>
        </w:rPr>
        <w:t>th</w:t>
      </w:r>
      <w:r w:rsidRPr="005B45F7">
        <w:rPr>
          <w:lang w:val="en-GB"/>
        </w:rPr>
        <w:t xml:space="preserve"> January 2017</w:t>
      </w:r>
    </w:p>
    <w:p w14:paraId="0C2DB96F" w14:textId="77777777" w:rsidR="000F0ED3" w:rsidRDefault="000F0ED3" w:rsidP="000F0ED3">
      <w:pPr>
        <w:pStyle w:val="Header"/>
      </w:pPr>
    </w:p>
    <w:p w14:paraId="512F9451" w14:textId="77777777" w:rsidR="000F0ED3" w:rsidRDefault="000F0ED3" w:rsidP="000F0ED3">
      <w:pPr>
        <w:pStyle w:val="Header"/>
        <w:tabs>
          <w:tab w:val="clear" w:pos="4536"/>
          <w:tab w:val="left" w:pos="1800"/>
        </w:tabs>
        <w:ind w:left="1800" w:hanging="1800"/>
      </w:pPr>
      <w:r>
        <w:t>Source:</w:t>
      </w:r>
      <w:r>
        <w:tab/>
        <w:t>Ericsson</w:t>
      </w:r>
    </w:p>
    <w:p w14:paraId="2959BBB9" w14:textId="01CC35EF" w:rsidR="000F0ED3" w:rsidRDefault="000F0ED3" w:rsidP="000F0ED3">
      <w:pPr>
        <w:pStyle w:val="Header"/>
        <w:tabs>
          <w:tab w:val="clear" w:pos="4536"/>
          <w:tab w:val="left" w:pos="1800"/>
        </w:tabs>
      </w:pPr>
      <w:r>
        <w:t>Title:</w:t>
      </w:r>
      <w:bookmarkStart w:id="1" w:name="Title"/>
      <w:bookmarkEnd w:id="1"/>
      <w:r>
        <w:tab/>
        <w:t xml:space="preserve">On </w:t>
      </w:r>
      <w:r w:rsidR="00CA4D04">
        <w:t>C</w:t>
      </w:r>
      <w:r w:rsidR="00C15550">
        <w:t>oexistence</w:t>
      </w:r>
      <w:r w:rsidR="00CA4D04">
        <w:t xml:space="preserve"> between LTE and NR</w:t>
      </w:r>
    </w:p>
    <w:p w14:paraId="728368F1" w14:textId="08C00700" w:rsidR="000F0ED3" w:rsidRDefault="000F0ED3" w:rsidP="000F0ED3">
      <w:pPr>
        <w:pStyle w:val="Header"/>
        <w:tabs>
          <w:tab w:val="left" w:pos="1800"/>
        </w:tabs>
      </w:pPr>
      <w:r>
        <w:t>Agenda Item:</w:t>
      </w:r>
      <w:bookmarkStart w:id="2" w:name="Source"/>
      <w:bookmarkEnd w:id="2"/>
      <w:r>
        <w:tab/>
      </w:r>
      <w:r w:rsidR="005B45F7">
        <w:t>5.1.9</w:t>
      </w:r>
    </w:p>
    <w:p w14:paraId="365DE35B" w14:textId="77777777" w:rsidR="000F0ED3" w:rsidRDefault="000F0ED3" w:rsidP="000F0ED3">
      <w:pPr>
        <w:pStyle w:val="Header"/>
        <w:tabs>
          <w:tab w:val="left" w:pos="1800"/>
        </w:tabs>
      </w:pPr>
      <w:r>
        <w:t>Document for:</w:t>
      </w:r>
      <w:r>
        <w:tab/>
      </w:r>
      <w:bookmarkStart w:id="3" w:name="DocumentFor"/>
      <w:bookmarkEnd w:id="3"/>
      <w:r>
        <w:t>Discussion and Decision</w:t>
      </w:r>
    </w:p>
    <w:p w14:paraId="4AE7F300" w14:textId="77777777" w:rsidR="000F0ED3" w:rsidRDefault="000F0ED3" w:rsidP="000F0ED3">
      <w:pPr>
        <w:pBdr>
          <w:bottom w:val="single" w:sz="4" w:space="1" w:color="auto"/>
        </w:pBdr>
        <w:tabs>
          <w:tab w:val="left" w:pos="2552"/>
        </w:tabs>
      </w:pPr>
    </w:p>
    <w:p w14:paraId="3F6211C7" w14:textId="77777777" w:rsidR="00F73844" w:rsidRDefault="000F0ED3" w:rsidP="000F0ED3">
      <w:pPr>
        <w:pStyle w:val="Heading1"/>
        <w:rPr>
          <w:b/>
          <w:bCs/>
        </w:rPr>
      </w:pPr>
      <w:r>
        <w:rPr>
          <w:b/>
          <w:bCs/>
        </w:rPr>
        <w:t>Introduction</w:t>
      </w:r>
    </w:p>
    <w:p w14:paraId="3050E3C6" w14:textId="77777777" w:rsidR="00F73844" w:rsidRDefault="00F73844" w:rsidP="00F73844">
      <w:pPr>
        <w:spacing w:after="120"/>
        <w:jc w:val="both"/>
        <w:rPr>
          <w:rFonts w:eastAsia="MS Mincho"/>
        </w:rPr>
      </w:pPr>
      <w:r>
        <w:rPr>
          <w:rFonts w:eastAsia="MS Mincho"/>
        </w:rPr>
        <w:t xml:space="preserve">In RAN1 #86b the following </w:t>
      </w:r>
      <w:r w:rsidR="002C7AD7">
        <w:rPr>
          <w:rFonts w:eastAsia="MS Mincho"/>
        </w:rPr>
        <w:t xml:space="preserve">was agreed </w:t>
      </w:r>
      <w:r>
        <w:rPr>
          <w:rFonts w:eastAsia="MS Mincho"/>
        </w:rPr>
        <w:fldChar w:fldCharType="begin"/>
      </w:r>
      <w:r>
        <w:rPr>
          <w:rFonts w:eastAsia="MS Mincho"/>
        </w:rPr>
        <w:instrText xml:space="preserve"> REF _Ref465264559 \n \h </w:instrText>
      </w:r>
      <w:r>
        <w:rPr>
          <w:rFonts w:eastAsia="MS Mincho"/>
        </w:rPr>
      </w:r>
      <w:r>
        <w:rPr>
          <w:rFonts w:eastAsia="MS Mincho"/>
        </w:rPr>
        <w:fldChar w:fldCharType="separate"/>
      </w:r>
      <w:r>
        <w:rPr>
          <w:rFonts w:eastAsia="MS Mincho"/>
        </w:rPr>
        <w:t>[1]</w:t>
      </w:r>
      <w:r>
        <w:rPr>
          <w:rFonts w:eastAsia="MS Mincho"/>
        </w:rPr>
        <w:fldChar w:fldCharType="end"/>
      </w:r>
      <w:r>
        <w:rPr>
          <w:rFonts w:eastAsia="MS Mincho"/>
        </w:rPr>
        <w:t>:</w:t>
      </w:r>
    </w:p>
    <w:p w14:paraId="2A3EECA9" w14:textId="77777777" w:rsidR="00C15550" w:rsidRPr="00857EFA" w:rsidRDefault="00C15550" w:rsidP="00C15550">
      <w:pPr>
        <w:rPr>
          <w:rFonts w:eastAsia="MS Mincho"/>
          <w:szCs w:val="20"/>
          <w:lang w:eastAsia="ja-JP"/>
        </w:rPr>
      </w:pPr>
      <w:r w:rsidRPr="00857EFA">
        <w:rPr>
          <w:rFonts w:eastAsia="MS Mincho"/>
          <w:szCs w:val="20"/>
          <w:highlight w:val="green"/>
          <w:lang w:eastAsia="ja-JP"/>
        </w:rPr>
        <w:t>Agreements:</w:t>
      </w:r>
    </w:p>
    <w:p w14:paraId="4B09DF0B" w14:textId="77777777" w:rsidR="00C15550" w:rsidRPr="00857EFA" w:rsidRDefault="00C15550" w:rsidP="00C15550">
      <w:pPr>
        <w:numPr>
          <w:ilvl w:val="0"/>
          <w:numId w:val="5"/>
        </w:numPr>
        <w:rPr>
          <w:rFonts w:eastAsia="MS Mincho"/>
          <w:szCs w:val="20"/>
          <w:lang w:eastAsia="ja-JP"/>
        </w:rPr>
      </w:pPr>
      <w:r w:rsidRPr="00857EFA">
        <w:rPr>
          <w:rFonts w:eastAsia="MS Mincho"/>
          <w:szCs w:val="20"/>
          <w:lang w:eastAsia="ja-JP"/>
        </w:rPr>
        <w:t>To support the efficient coexistence between NR and LTE operating in the same licensed frequency band,</w:t>
      </w:r>
    </w:p>
    <w:p w14:paraId="54BE860E" w14:textId="77777777" w:rsidR="00C15550" w:rsidRPr="00857EFA" w:rsidRDefault="00C15550" w:rsidP="00C15550">
      <w:pPr>
        <w:numPr>
          <w:ilvl w:val="1"/>
          <w:numId w:val="5"/>
        </w:numPr>
        <w:rPr>
          <w:rFonts w:eastAsia="MS Mincho"/>
          <w:szCs w:val="20"/>
          <w:lang w:eastAsia="ja-JP"/>
        </w:rPr>
      </w:pPr>
      <w:r w:rsidRPr="00857EFA">
        <w:rPr>
          <w:rFonts w:eastAsia="MS Mincho"/>
          <w:szCs w:val="20"/>
          <w:lang w:eastAsia="ja-JP"/>
        </w:rPr>
        <w:t>At least legacy LTE features should be considered in the NR study, e.g.:</w:t>
      </w:r>
    </w:p>
    <w:p w14:paraId="2C29B7DB" w14:textId="77777777" w:rsidR="00C15550" w:rsidRPr="00857EFA" w:rsidRDefault="00C15550" w:rsidP="00C15550">
      <w:pPr>
        <w:numPr>
          <w:ilvl w:val="2"/>
          <w:numId w:val="5"/>
        </w:numPr>
        <w:rPr>
          <w:rFonts w:eastAsia="MS Mincho"/>
          <w:szCs w:val="20"/>
          <w:lang w:eastAsia="ja-JP"/>
        </w:rPr>
      </w:pPr>
      <w:r w:rsidRPr="00857EFA">
        <w:rPr>
          <w:rFonts w:eastAsia="MS Mincho"/>
          <w:szCs w:val="20"/>
          <w:lang w:eastAsia="ja-JP"/>
        </w:rPr>
        <w:t>MBSFN configuration (for LTE Rel-8 and beyond)</w:t>
      </w:r>
    </w:p>
    <w:p w14:paraId="577F0E32" w14:textId="77777777" w:rsidR="00C15550" w:rsidRPr="00857EFA" w:rsidRDefault="00C15550" w:rsidP="00C15550">
      <w:pPr>
        <w:numPr>
          <w:ilvl w:val="2"/>
          <w:numId w:val="5"/>
        </w:numPr>
        <w:rPr>
          <w:rFonts w:eastAsia="MS Mincho"/>
          <w:szCs w:val="20"/>
          <w:lang w:eastAsia="ja-JP"/>
        </w:rPr>
      </w:pPr>
      <w:r w:rsidRPr="00857EFA">
        <w:rPr>
          <w:rFonts w:eastAsia="MS Mincho"/>
          <w:szCs w:val="20"/>
          <w:lang w:eastAsia="ja-JP"/>
        </w:rPr>
        <w:t xml:space="preserve">TDD UL </w:t>
      </w:r>
      <w:proofErr w:type="spellStart"/>
      <w:r w:rsidRPr="00857EFA">
        <w:rPr>
          <w:rFonts w:eastAsia="MS Mincho"/>
          <w:szCs w:val="20"/>
          <w:lang w:eastAsia="ja-JP"/>
        </w:rPr>
        <w:t>subframe</w:t>
      </w:r>
      <w:proofErr w:type="spellEnd"/>
      <w:r w:rsidRPr="00857EFA">
        <w:rPr>
          <w:rFonts w:eastAsia="MS Mincho"/>
          <w:szCs w:val="20"/>
          <w:lang w:eastAsia="ja-JP"/>
        </w:rPr>
        <w:t xml:space="preserve"> (for LTE Rel-8 and beyond)</w:t>
      </w:r>
    </w:p>
    <w:p w14:paraId="40507280" w14:textId="77777777" w:rsidR="00C15550" w:rsidRPr="00857EFA" w:rsidRDefault="00C15550" w:rsidP="00C15550">
      <w:pPr>
        <w:numPr>
          <w:ilvl w:val="2"/>
          <w:numId w:val="5"/>
        </w:numPr>
        <w:rPr>
          <w:rFonts w:eastAsia="MS Mincho"/>
          <w:szCs w:val="20"/>
          <w:lang w:eastAsia="ja-JP"/>
        </w:rPr>
      </w:pPr>
      <w:proofErr w:type="spellStart"/>
      <w:r w:rsidRPr="00857EFA">
        <w:rPr>
          <w:rFonts w:eastAsia="MS Mincho"/>
          <w:szCs w:val="20"/>
          <w:lang w:eastAsia="ja-JP"/>
        </w:rPr>
        <w:t>SCell</w:t>
      </w:r>
      <w:proofErr w:type="spellEnd"/>
      <w:r w:rsidRPr="00857EFA">
        <w:rPr>
          <w:rFonts w:eastAsia="MS Mincho"/>
          <w:szCs w:val="20"/>
          <w:lang w:eastAsia="ja-JP"/>
        </w:rPr>
        <w:t xml:space="preserve"> activation/deactivation (for LTE Rel-10 and beyond)</w:t>
      </w:r>
    </w:p>
    <w:p w14:paraId="69456646" w14:textId="77777777" w:rsidR="00C15550" w:rsidRPr="00857EFA" w:rsidRDefault="00C15550" w:rsidP="00C15550">
      <w:pPr>
        <w:numPr>
          <w:ilvl w:val="2"/>
          <w:numId w:val="5"/>
        </w:numPr>
        <w:rPr>
          <w:rFonts w:eastAsia="MS Mincho"/>
          <w:szCs w:val="20"/>
          <w:lang w:eastAsia="ja-JP"/>
        </w:rPr>
      </w:pPr>
      <w:r w:rsidRPr="00857EFA">
        <w:rPr>
          <w:rFonts w:eastAsia="MS Mincho"/>
          <w:szCs w:val="20"/>
          <w:lang w:eastAsia="ja-JP"/>
        </w:rPr>
        <w:t xml:space="preserve">TDD UL </w:t>
      </w:r>
      <w:proofErr w:type="spellStart"/>
      <w:r w:rsidRPr="00857EFA">
        <w:rPr>
          <w:rFonts w:eastAsia="MS Mincho"/>
          <w:szCs w:val="20"/>
          <w:lang w:eastAsia="ja-JP"/>
        </w:rPr>
        <w:t>subframe</w:t>
      </w:r>
      <w:proofErr w:type="spellEnd"/>
      <w:r w:rsidRPr="00857EFA">
        <w:rPr>
          <w:rFonts w:eastAsia="MS Mincho"/>
          <w:szCs w:val="20"/>
          <w:lang w:eastAsia="ja-JP"/>
        </w:rPr>
        <w:t xml:space="preserve"> configured by </w:t>
      </w:r>
      <w:proofErr w:type="spellStart"/>
      <w:r w:rsidRPr="00857EFA">
        <w:rPr>
          <w:rFonts w:eastAsia="MS Mincho"/>
          <w:szCs w:val="20"/>
          <w:lang w:eastAsia="ja-JP"/>
        </w:rPr>
        <w:t>eIMTA</w:t>
      </w:r>
      <w:proofErr w:type="spellEnd"/>
      <w:r w:rsidRPr="00857EFA">
        <w:rPr>
          <w:rFonts w:eastAsia="MS Mincho"/>
          <w:szCs w:val="20"/>
          <w:lang w:eastAsia="ja-JP"/>
        </w:rPr>
        <w:t xml:space="preserve"> feature (for LTE Rel-12 and beyond)</w:t>
      </w:r>
    </w:p>
    <w:p w14:paraId="26717A1A" w14:textId="77777777" w:rsidR="00C15550" w:rsidRPr="00857EFA" w:rsidRDefault="00C15550" w:rsidP="00C15550">
      <w:pPr>
        <w:numPr>
          <w:ilvl w:val="1"/>
          <w:numId w:val="5"/>
        </w:numPr>
        <w:rPr>
          <w:rFonts w:eastAsia="MS Mincho"/>
          <w:szCs w:val="20"/>
          <w:lang w:eastAsia="ja-JP"/>
        </w:rPr>
      </w:pPr>
      <w:r w:rsidRPr="00857EFA">
        <w:rPr>
          <w:rFonts w:eastAsia="MS Mincho"/>
          <w:szCs w:val="20"/>
          <w:lang w:eastAsia="ja-JP"/>
        </w:rPr>
        <w:t>NR should study the following candidate mechanisms for coexistence:</w:t>
      </w:r>
    </w:p>
    <w:p w14:paraId="6A65F5C9" w14:textId="77777777" w:rsidR="00C15550" w:rsidRPr="00857EFA" w:rsidRDefault="00C15550" w:rsidP="00C15550">
      <w:pPr>
        <w:numPr>
          <w:ilvl w:val="2"/>
          <w:numId w:val="5"/>
        </w:numPr>
        <w:rPr>
          <w:rFonts w:eastAsia="MS Mincho"/>
          <w:szCs w:val="20"/>
          <w:lang w:eastAsia="ja-JP"/>
        </w:rPr>
      </w:pPr>
      <w:r w:rsidRPr="00857EFA">
        <w:rPr>
          <w:rFonts w:eastAsia="MS Mincho"/>
          <w:szCs w:val="20"/>
          <w:lang w:eastAsia="ja-JP"/>
        </w:rPr>
        <w:t>Resource indication (e.g., blank resources, available resources, etc.) of time/frequency resources</w:t>
      </w:r>
    </w:p>
    <w:p w14:paraId="6492FEA7" w14:textId="77777777" w:rsidR="00C15550" w:rsidRPr="00857EFA" w:rsidRDefault="00C15550" w:rsidP="00C15550">
      <w:pPr>
        <w:numPr>
          <w:ilvl w:val="2"/>
          <w:numId w:val="5"/>
        </w:numPr>
        <w:rPr>
          <w:rFonts w:eastAsia="MS Mincho"/>
          <w:szCs w:val="20"/>
          <w:lang w:eastAsia="ja-JP"/>
        </w:rPr>
      </w:pPr>
      <w:r w:rsidRPr="00857EFA">
        <w:rPr>
          <w:rFonts w:eastAsia="MS Mincho"/>
          <w:szCs w:val="20"/>
          <w:lang w:eastAsia="ja-JP"/>
        </w:rPr>
        <w:t>Reconfiguring channel bandwidth/carriers monitored by UEs</w:t>
      </w:r>
    </w:p>
    <w:p w14:paraId="76403650" w14:textId="77777777" w:rsidR="00C15550" w:rsidRPr="00857EFA" w:rsidRDefault="00C15550" w:rsidP="00C15550">
      <w:pPr>
        <w:numPr>
          <w:ilvl w:val="2"/>
          <w:numId w:val="5"/>
        </w:numPr>
        <w:rPr>
          <w:rFonts w:eastAsia="MS Mincho"/>
          <w:szCs w:val="20"/>
          <w:lang w:eastAsia="ja-JP"/>
        </w:rPr>
      </w:pPr>
      <w:r w:rsidRPr="00857EFA">
        <w:rPr>
          <w:rFonts w:eastAsia="MS Mincho"/>
          <w:szCs w:val="20"/>
          <w:lang w:eastAsia="ja-JP"/>
        </w:rPr>
        <w:t>Any other mechanisms are not precluded.</w:t>
      </w:r>
    </w:p>
    <w:p w14:paraId="18709F9D" w14:textId="77777777" w:rsidR="00C15550" w:rsidRPr="00857EFA" w:rsidRDefault="00C15550" w:rsidP="00C15550">
      <w:pPr>
        <w:numPr>
          <w:ilvl w:val="1"/>
          <w:numId w:val="5"/>
        </w:numPr>
        <w:rPr>
          <w:rFonts w:eastAsia="MS Mincho"/>
          <w:szCs w:val="20"/>
          <w:lang w:eastAsia="ja-JP"/>
        </w:rPr>
      </w:pPr>
      <w:r w:rsidRPr="00857EFA">
        <w:rPr>
          <w:rFonts w:eastAsia="MS Mincho"/>
          <w:szCs w:val="20"/>
          <w:lang w:eastAsia="ja-JP"/>
        </w:rPr>
        <w:t xml:space="preserve">For </w:t>
      </w:r>
      <w:proofErr w:type="spellStart"/>
      <w:r w:rsidRPr="00857EFA">
        <w:rPr>
          <w:rFonts w:eastAsia="MS Mincho"/>
          <w:szCs w:val="20"/>
          <w:lang w:eastAsia="ja-JP"/>
        </w:rPr>
        <w:t>non co-</w:t>
      </w:r>
      <w:proofErr w:type="spellEnd"/>
      <w:r w:rsidRPr="00857EFA">
        <w:rPr>
          <w:rFonts w:eastAsia="MS Mincho"/>
          <w:szCs w:val="20"/>
          <w:lang w:eastAsia="ja-JP"/>
        </w:rPr>
        <w:t>located LTE/NR case, backhaul signaling between LTE and NR can be studied to mitigate inter-cell interference.</w:t>
      </w:r>
    </w:p>
    <w:p w14:paraId="33A809F3" w14:textId="77777777" w:rsidR="00C15550" w:rsidRPr="00857EFA" w:rsidRDefault="00C15550" w:rsidP="00C15550">
      <w:pPr>
        <w:numPr>
          <w:ilvl w:val="2"/>
          <w:numId w:val="5"/>
        </w:numPr>
        <w:rPr>
          <w:rFonts w:eastAsia="MS Mincho"/>
          <w:szCs w:val="20"/>
          <w:lang w:eastAsia="ja-JP"/>
        </w:rPr>
      </w:pPr>
      <w:r w:rsidRPr="00857EFA">
        <w:rPr>
          <w:rFonts w:eastAsia="MS Mincho"/>
          <w:szCs w:val="20"/>
          <w:lang w:eastAsia="ja-JP"/>
        </w:rPr>
        <w:t>FFS on which information can be conveyed on the backhaul signaling</w:t>
      </w:r>
    </w:p>
    <w:p w14:paraId="509286CB" w14:textId="77777777" w:rsidR="00C15550" w:rsidRPr="00857EFA" w:rsidRDefault="00C15550" w:rsidP="00C15550">
      <w:pPr>
        <w:numPr>
          <w:ilvl w:val="2"/>
          <w:numId w:val="5"/>
        </w:numPr>
        <w:rPr>
          <w:rFonts w:eastAsia="MS Mincho"/>
          <w:szCs w:val="20"/>
          <w:lang w:eastAsia="ja-JP"/>
        </w:rPr>
      </w:pPr>
      <w:r w:rsidRPr="00857EFA">
        <w:rPr>
          <w:rFonts w:eastAsia="MS Mincho"/>
          <w:szCs w:val="20"/>
          <w:lang w:eastAsia="ja-JP"/>
        </w:rPr>
        <w:t xml:space="preserve">Over-the-air listening at the </w:t>
      </w:r>
      <w:proofErr w:type="spellStart"/>
      <w:r w:rsidRPr="00857EFA">
        <w:rPr>
          <w:rFonts w:eastAsia="MS Mincho"/>
          <w:szCs w:val="20"/>
          <w:lang w:eastAsia="ja-JP"/>
        </w:rPr>
        <w:t>gNB</w:t>
      </w:r>
      <w:proofErr w:type="spellEnd"/>
      <w:r w:rsidRPr="00857EFA">
        <w:rPr>
          <w:rFonts w:eastAsia="MS Mincho"/>
          <w:szCs w:val="20"/>
          <w:lang w:eastAsia="ja-JP"/>
        </w:rPr>
        <w:t xml:space="preserve"> can also be considered</w:t>
      </w:r>
    </w:p>
    <w:p w14:paraId="2049F995" w14:textId="77777777" w:rsidR="00C15550" w:rsidRPr="00857EFA" w:rsidRDefault="00C15550" w:rsidP="00C15550">
      <w:pPr>
        <w:numPr>
          <w:ilvl w:val="1"/>
          <w:numId w:val="5"/>
        </w:numPr>
        <w:rPr>
          <w:rFonts w:eastAsia="MS Mincho"/>
          <w:szCs w:val="20"/>
          <w:lang w:eastAsia="ja-JP"/>
        </w:rPr>
      </w:pPr>
      <w:r w:rsidRPr="00857EFA">
        <w:rPr>
          <w:rFonts w:eastAsia="MS Mincho"/>
          <w:szCs w:val="20"/>
          <w:lang w:eastAsia="ja-JP"/>
        </w:rPr>
        <w:t>Note: Dynamic switch between NR and LTE can be studied from the perspective of network for co-located LTE/NR case.</w:t>
      </w:r>
    </w:p>
    <w:p w14:paraId="50F888D1" w14:textId="6B794F76" w:rsidR="00C15550" w:rsidRDefault="00C15550" w:rsidP="00F73844">
      <w:pPr>
        <w:spacing w:after="120"/>
        <w:jc w:val="both"/>
        <w:rPr>
          <w:rFonts w:eastAsia="MS Mincho"/>
        </w:rPr>
      </w:pPr>
    </w:p>
    <w:p w14:paraId="611CA3E8" w14:textId="2D0778D5" w:rsidR="007849F1" w:rsidRDefault="005F3BBF" w:rsidP="00F73844">
      <w:pPr>
        <w:spacing w:after="120"/>
        <w:jc w:val="both"/>
        <w:rPr>
          <w:rFonts w:eastAsia="MS Mincho"/>
        </w:rPr>
      </w:pPr>
      <w:r>
        <w:rPr>
          <w:rFonts w:eastAsia="MS Mincho"/>
        </w:rPr>
        <w:t xml:space="preserve">Some simple and effective ways for LTE and NR to coexist were outlined in </w:t>
      </w:r>
      <w:r>
        <w:rPr>
          <w:rFonts w:eastAsia="MS Mincho"/>
        </w:rPr>
        <w:fldChar w:fldCharType="begin"/>
      </w:r>
      <w:r>
        <w:rPr>
          <w:rFonts w:eastAsia="MS Mincho"/>
        </w:rPr>
        <w:instrText xml:space="preserve"> REF _Ref471667260 \r \h </w:instrText>
      </w:r>
      <w:r>
        <w:rPr>
          <w:rFonts w:eastAsia="MS Mincho"/>
        </w:rPr>
      </w:r>
      <w:r>
        <w:rPr>
          <w:rFonts w:eastAsia="MS Mincho"/>
        </w:rPr>
        <w:fldChar w:fldCharType="separate"/>
      </w:r>
      <w:r>
        <w:rPr>
          <w:rFonts w:eastAsia="MS Mincho"/>
        </w:rPr>
        <w:t>[2]</w:t>
      </w:r>
      <w:r>
        <w:rPr>
          <w:rFonts w:eastAsia="MS Mincho"/>
        </w:rPr>
        <w:fldChar w:fldCharType="end"/>
      </w:r>
      <w:r>
        <w:rPr>
          <w:rFonts w:eastAsia="MS Mincho"/>
        </w:rPr>
        <w:t xml:space="preserve">. </w:t>
      </w:r>
      <w:r w:rsidR="007849F1">
        <w:rPr>
          <w:rFonts w:eastAsia="MS Mincho"/>
        </w:rPr>
        <w:t>In RAN1#87, the following was agreed</w:t>
      </w:r>
      <w:r>
        <w:rPr>
          <w:rFonts w:eastAsia="MS Mincho"/>
        </w:rPr>
        <w:t xml:space="preserve"> which included some elements of the proposals in </w:t>
      </w:r>
      <w:r>
        <w:rPr>
          <w:rFonts w:eastAsia="MS Mincho"/>
        </w:rPr>
        <w:fldChar w:fldCharType="begin"/>
      </w:r>
      <w:r>
        <w:rPr>
          <w:rFonts w:eastAsia="MS Mincho"/>
        </w:rPr>
        <w:instrText xml:space="preserve"> REF _Ref471667260 \r \h </w:instrText>
      </w:r>
      <w:r>
        <w:rPr>
          <w:rFonts w:eastAsia="MS Mincho"/>
        </w:rPr>
      </w:r>
      <w:r>
        <w:rPr>
          <w:rFonts w:eastAsia="MS Mincho"/>
        </w:rPr>
        <w:fldChar w:fldCharType="separate"/>
      </w:r>
      <w:r>
        <w:rPr>
          <w:rFonts w:eastAsia="MS Mincho"/>
        </w:rPr>
        <w:t>[2]</w:t>
      </w:r>
      <w:r>
        <w:rPr>
          <w:rFonts w:eastAsia="MS Mincho"/>
        </w:rPr>
        <w:fldChar w:fldCharType="end"/>
      </w:r>
      <w:r w:rsidR="007849F1">
        <w:rPr>
          <w:rFonts w:eastAsia="MS Mincho"/>
        </w:rPr>
        <w:t>:</w:t>
      </w:r>
    </w:p>
    <w:p w14:paraId="132111F4" w14:textId="77777777" w:rsidR="00515BD2" w:rsidRPr="00C22D63" w:rsidRDefault="00515BD2" w:rsidP="00515BD2">
      <w:pPr>
        <w:rPr>
          <w:rFonts w:eastAsia="MS Mincho"/>
          <w:b/>
          <w:u w:val="single"/>
          <w:lang w:eastAsia="ja-JP"/>
        </w:rPr>
      </w:pPr>
      <w:r w:rsidRPr="000503C7">
        <w:rPr>
          <w:rFonts w:eastAsia="MS Mincho" w:hint="eastAsia"/>
          <w:b/>
          <w:highlight w:val="green"/>
          <w:u w:val="single"/>
          <w:lang w:eastAsia="ja-JP"/>
        </w:rPr>
        <w:t>Agreements:</w:t>
      </w:r>
    </w:p>
    <w:p w14:paraId="76BA6E6A" w14:textId="77777777" w:rsidR="00515BD2" w:rsidRDefault="00515BD2" w:rsidP="00515BD2">
      <w:pPr>
        <w:numPr>
          <w:ilvl w:val="0"/>
          <w:numId w:val="6"/>
        </w:numPr>
        <w:rPr>
          <w:rFonts w:eastAsia="MS Mincho"/>
          <w:lang w:eastAsia="ja-JP"/>
        </w:rPr>
      </w:pPr>
      <w:r>
        <w:rPr>
          <w:rFonts w:eastAsia="MS Mincho" w:hint="eastAsia"/>
          <w:lang w:eastAsia="ja-JP"/>
        </w:rPr>
        <w:t xml:space="preserve">For LTE and NR </w:t>
      </w:r>
      <w:r>
        <w:rPr>
          <w:rFonts w:eastAsia="MS Mincho"/>
          <w:lang w:eastAsia="ja-JP"/>
        </w:rPr>
        <w:t>coexistence</w:t>
      </w:r>
      <w:r>
        <w:rPr>
          <w:rFonts w:eastAsia="MS Mincho" w:hint="eastAsia"/>
          <w:lang w:eastAsia="ja-JP"/>
        </w:rPr>
        <w:t xml:space="preserve">, </w:t>
      </w:r>
    </w:p>
    <w:p w14:paraId="692AE239" w14:textId="77777777" w:rsidR="00515BD2" w:rsidRDefault="00515BD2" w:rsidP="00515BD2">
      <w:pPr>
        <w:numPr>
          <w:ilvl w:val="1"/>
          <w:numId w:val="6"/>
        </w:numPr>
        <w:rPr>
          <w:rFonts w:eastAsia="MS Mincho"/>
          <w:lang w:eastAsia="ja-JP"/>
        </w:rPr>
      </w:pPr>
      <w:r w:rsidRPr="00970A18">
        <w:rPr>
          <w:rFonts w:eastAsia="MS Mincho"/>
          <w:lang w:eastAsia="ja-JP"/>
        </w:rPr>
        <w:t xml:space="preserve">In NR design, consider support of flexible starting point and duration of scheduled resources as a tool to avoid for example the control region of MBSFN </w:t>
      </w:r>
      <w:proofErr w:type="spellStart"/>
      <w:r w:rsidRPr="00970A18">
        <w:rPr>
          <w:rFonts w:eastAsia="MS Mincho"/>
          <w:lang w:eastAsia="ja-JP"/>
        </w:rPr>
        <w:t>subframes</w:t>
      </w:r>
      <w:proofErr w:type="spellEnd"/>
      <w:r w:rsidRPr="00970A18">
        <w:rPr>
          <w:rFonts w:eastAsia="MS Mincho"/>
          <w:lang w:eastAsia="ja-JP"/>
        </w:rPr>
        <w:t xml:space="preserve"> and be able to use resources in the unused </w:t>
      </w:r>
      <w:r>
        <w:rPr>
          <w:rFonts w:eastAsia="MS Mincho" w:hint="eastAsia"/>
          <w:lang w:eastAsia="ja-JP"/>
        </w:rPr>
        <w:t xml:space="preserve">MBSFN </w:t>
      </w:r>
      <w:proofErr w:type="spellStart"/>
      <w:r w:rsidRPr="00970A18">
        <w:rPr>
          <w:rFonts w:eastAsia="MS Mincho"/>
          <w:lang w:eastAsia="ja-JP"/>
        </w:rPr>
        <w:t>subframes</w:t>
      </w:r>
      <w:proofErr w:type="spellEnd"/>
      <w:r w:rsidRPr="00970A18">
        <w:rPr>
          <w:rFonts w:eastAsia="MS Mincho"/>
          <w:lang w:eastAsia="ja-JP"/>
        </w:rPr>
        <w:t xml:space="preserve"> of an LTE carrier</w:t>
      </w:r>
    </w:p>
    <w:p w14:paraId="2D359F84" w14:textId="77777777" w:rsidR="00515BD2" w:rsidRDefault="00515BD2" w:rsidP="00515BD2">
      <w:pPr>
        <w:numPr>
          <w:ilvl w:val="2"/>
          <w:numId w:val="6"/>
        </w:numPr>
        <w:rPr>
          <w:rFonts w:eastAsia="MS Mincho"/>
          <w:lang w:eastAsia="ja-JP"/>
        </w:rPr>
      </w:pPr>
      <w:r w:rsidRPr="00970A18">
        <w:rPr>
          <w:rFonts w:eastAsia="MS Mincho"/>
          <w:lang w:eastAsia="ja-JP"/>
        </w:rPr>
        <w:t>Note: those mechanisms may be reused from forward compatibility mechanisms</w:t>
      </w:r>
    </w:p>
    <w:p w14:paraId="7D3559A0" w14:textId="77777777" w:rsidR="00515BD2" w:rsidRDefault="00515BD2" w:rsidP="00515BD2">
      <w:pPr>
        <w:numPr>
          <w:ilvl w:val="2"/>
          <w:numId w:val="6"/>
        </w:numPr>
        <w:rPr>
          <w:rFonts w:eastAsia="MS Mincho"/>
          <w:lang w:eastAsia="ja-JP"/>
        </w:rPr>
      </w:pPr>
      <w:r>
        <w:rPr>
          <w:rFonts w:eastAsia="MS Mincho" w:hint="eastAsia"/>
          <w:lang w:eastAsia="ja-JP"/>
        </w:rPr>
        <w:t xml:space="preserve">FFS: use of </w:t>
      </w:r>
      <w:r w:rsidRPr="00970A18">
        <w:rPr>
          <w:rFonts w:eastAsia="MS Mincho" w:hint="eastAsia"/>
          <w:lang w:eastAsia="ja-JP"/>
        </w:rPr>
        <w:t>mini-slot</w:t>
      </w:r>
    </w:p>
    <w:p w14:paraId="02BC44B1" w14:textId="77777777" w:rsidR="00515BD2" w:rsidRPr="00970A18" w:rsidRDefault="00515BD2" w:rsidP="00515BD2">
      <w:pPr>
        <w:numPr>
          <w:ilvl w:val="2"/>
          <w:numId w:val="6"/>
        </w:numPr>
        <w:rPr>
          <w:rFonts w:eastAsia="MS Mincho"/>
          <w:lang w:eastAsia="ja-JP"/>
        </w:rPr>
      </w:pPr>
      <w:r w:rsidRPr="00970A18">
        <w:rPr>
          <w:rFonts w:eastAsia="MS Mincho" w:hint="eastAsia"/>
          <w:lang w:eastAsia="ja-JP"/>
        </w:rPr>
        <w:t>FFS: Dynamic</w:t>
      </w:r>
      <w:r>
        <w:rPr>
          <w:rFonts w:eastAsia="MS Mincho" w:hint="eastAsia"/>
          <w:lang w:eastAsia="ja-JP"/>
        </w:rPr>
        <w:t>ally</w:t>
      </w:r>
      <w:r w:rsidRPr="00970A18">
        <w:rPr>
          <w:rFonts w:eastAsia="MS Mincho" w:hint="eastAsia"/>
          <w:lang w:eastAsia="ja-JP"/>
        </w:rPr>
        <w:t xml:space="preserve"> or semi-s</w:t>
      </w:r>
      <w:r>
        <w:rPr>
          <w:rFonts w:eastAsia="MS Mincho" w:hint="eastAsia"/>
          <w:lang w:eastAsia="ja-JP"/>
        </w:rPr>
        <w:t>tatically varying starting point and duration</w:t>
      </w:r>
    </w:p>
    <w:p w14:paraId="0BA3EDA1" w14:textId="77777777" w:rsidR="00515BD2" w:rsidRDefault="00515BD2" w:rsidP="00515BD2">
      <w:pPr>
        <w:numPr>
          <w:ilvl w:val="1"/>
          <w:numId w:val="6"/>
        </w:numPr>
        <w:rPr>
          <w:rFonts w:eastAsia="MS Mincho"/>
          <w:lang w:eastAsia="ja-JP"/>
        </w:rPr>
      </w:pPr>
      <w:r>
        <w:rPr>
          <w:rFonts w:eastAsia="MS Mincho" w:hint="eastAsia"/>
          <w:lang w:eastAsia="ja-JP"/>
        </w:rPr>
        <w:t xml:space="preserve">NR design supports adapting the </w:t>
      </w:r>
      <w:r>
        <w:rPr>
          <w:rFonts w:eastAsia="MS Mincho"/>
          <w:lang w:eastAsia="ja-JP"/>
        </w:rPr>
        <w:t>bandwidth</w:t>
      </w:r>
      <w:r>
        <w:rPr>
          <w:rFonts w:eastAsia="MS Mincho" w:hint="eastAsia"/>
          <w:lang w:eastAsia="ja-JP"/>
        </w:rPr>
        <w:t xml:space="preserve"> occupied by NR carrier(s) at least as fast as LTE carrier aggregation schemes</w:t>
      </w:r>
    </w:p>
    <w:p w14:paraId="2ADFFD3A" w14:textId="77777777" w:rsidR="00515BD2" w:rsidRDefault="00515BD2" w:rsidP="00515BD2">
      <w:pPr>
        <w:numPr>
          <w:ilvl w:val="2"/>
          <w:numId w:val="6"/>
        </w:numPr>
        <w:rPr>
          <w:rFonts w:eastAsia="MS Mincho"/>
          <w:lang w:eastAsia="ja-JP"/>
        </w:rPr>
      </w:pPr>
      <w:r>
        <w:rPr>
          <w:rFonts w:eastAsia="MS Mincho" w:hint="eastAsia"/>
          <w:lang w:eastAsia="ja-JP"/>
        </w:rPr>
        <w:t>FFS: Detailed design</w:t>
      </w:r>
    </w:p>
    <w:p w14:paraId="6E026C54" w14:textId="77777777" w:rsidR="00515BD2" w:rsidRPr="00C22D63" w:rsidRDefault="00515BD2" w:rsidP="00515BD2">
      <w:pPr>
        <w:numPr>
          <w:ilvl w:val="1"/>
          <w:numId w:val="6"/>
        </w:numPr>
        <w:rPr>
          <w:rFonts w:eastAsia="MS Mincho"/>
          <w:lang w:eastAsia="ja-JP"/>
        </w:rPr>
      </w:pPr>
      <w:r>
        <w:rPr>
          <w:rFonts w:eastAsia="MS Mincho" w:hint="eastAsia"/>
          <w:lang w:eastAsia="ja-JP"/>
        </w:rPr>
        <w:t>FFS: A</w:t>
      </w:r>
      <w:r w:rsidRPr="00C22D63">
        <w:rPr>
          <w:rFonts w:eastAsia="MS Mincho"/>
          <w:lang w:eastAsia="ja-JP"/>
        </w:rPr>
        <w:t>llowing NR transmissions while avoiding OFDM symbols carrying</w:t>
      </w:r>
      <w:r>
        <w:rPr>
          <w:rFonts w:eastAsia="MS Mincho"/>
          <w:lang w:eastAsia="ja-JP"/>
        </w:rPr>
        <w:t xml:space="preserve"> CRS on a DL LTE </w:t>
      </w:r>
      <w:proofErr w:type="spellStart"/>
      <w:r>
        <w:rPr>
          <w:rFonts w:eastAsia="MS Mincho" w:hint="eastAsia"/>
          <w:lang w:eastAsia="ja-JP"/>
        </w:rPr>
        <w:t>subframe</w:t>
      </w:r>
      <w:proofErr w:type="spellEnd"/>
    </w:p>
    <w:p w14:paraId="6E02D467" w14:textId="77777777" w:rsidR="00515BD2" w:rsidRDefault="00515BD2" w:rsidP="00515BD2">
      <w:pPr>
        <w:numPr>
          <w:ilvl w:val="2"/>
          <w:numId w:val="6"/>
        </w:numPr>
        <w:rPr>
          <w:rFonts w:eastAsia="MS Mincho"/>
          <w:lang w:eastAsia="ja-JP"/>
        </w:rPr>
      </w:pPr>
      <w:r w:rsidRPr="00C22D63">
        <w:rPr>
          <w:rFonts w:eastAsia="MS Mincho"/>
          <w:lang w:eastAsia="ja-JP"/>
        </w:rPr>
        <w:t xml:space="preserve">Further discussion needed on how to handle </w:t>
      </w:r>
      <w:proofErr w:type="spellStart"/>
      <w:r w:rsidRPr="00C22D63">
        <w:rPr>
          <w:rFonts w:eastAsia="MS Mincho"/>
          <w:lang w:eastAsia="ja-JP"/>
        </w:rPr>
        <w:t>sTTI</w:t>
      </w:r>
      <w:proofErr w:type="spellEnd"/>
      <w:r w:rsidRPr="00C22D63">
        <w:rPr>
          <w:rFonts w:eastAsia="MS Mincho"/>
          <w:lang w:eastAsia="ja-JP"/>
        </w:rPr>
        <w:t xml:space="preserve"> transmissions of LTE</w:t>
      </w:r>
    </w:p>
    <w:p w14:paraId="7D9B5BA4" w14:textId="77777777" w:rsidR="00515BD2" w:rsidRDefault="00515BD2" w:rsidP="00515BD2">
      <w:pPr>
        <w:numPr>
          <w:ilvl w:val="2"/>
          <w:numId w:val="6"/>
        </w:numPr>
        <w:rPr>
          <w:rFonts w:eastAsia="MS Mincho"/>
          <w:lang w:eastAsia="ja-JP"/>
        </w:rPr>
      </w:pPr>
      <w:r w:rsidRPr="00C22D63">
        <w:rPr>
          <w:rFonts w:eastAsia="MS Mincho"/>
          <w:lang w:eastAsia="ja-JP"/>
        </w:rPr>
        <w:t>Note: those mechanisms may be reused from forward compatibility mechanisms</w:t>
      </w:r>
      <w:r>
        <w:rPr>
          <w:rFonts w:eastAsia="MS Mincho" w:hint="eastAsia"/>
          <w:lang w:eastAsia="ja-JP"/>
        </w:rPr>
        <w:t xml:space="preserve">, or mechanisms for multiplexing </w:t>
      </w:r>
      <w:proofErr w:type="spellStart"/>
      <w:r>
        <w:rPr>
          <w:rFonts w:eastAsia="MS Mincho" w:hint="eastAsia"/>
          <w:lang w:eastAsia="ja-JP"/>
        </w:rPr>
        <w:t>eMBB</w:t>
      </w:r>
      <w:proofErr w:type="spellEnd"/>
      <w:r>
        <w:rPr>
          <w:rFonts w:eastAsia="MS Mincho" w:hint="eastAsia"/>
          <w:lang w:eastAsia="ja-JP"/>
        </w:rPr>
        <w:t xml:space="preserve"> and URLLC on the DL, or mini-slot</w:t>
      </w:r>
    </w:p>
    <w:p w14:paraId="4C1795E4" w14:textId="77777777" w:rsidR="00515BD2" w:rsidRPr="00C22D63" w:rsidRDefault="00515BD2" w:rsidP="00515BD2">
      <w:pPr>
        <w:numPr>
          <w:ilvl w:val="1"/>
          <w:numId w:val="6"/>
        </w:numPr>
        <w:rPr>
          <w:rFonts w:eastAsia="MS Mincho"/>
          <w:lang w:eastAsia="ja-JP"/>
        </w:rPr>
      </w:pPr>
      <w:r w:rsidRPr="00C22D63">
        <w:rPr>
          <w:rFonts w:eastAsia="MS Mincho"/>
          <w:lang w:eastAsia="ja-JP"/>
        </w:rPr>
        <w:t>Allowing NR transmissions while avoiding O</w:t>
      </w:r>
      <w:r>
        <w:rPr>
          <w:rFonts w:eastAsia="MS Mincho"/>
          <w:lang w:eastAsia="ja-JP"/>
        </w:rPr>
        <w:t xml:space="preserve">FDM symbols carrying </w:t>
      </w:r>
      <w:r w:rsidRPr="00C22D63">
        <w:rPr>
          <w:rFonts w:eastAsia="MS Mincho"/>
          <w:lang w:eastAsia="ja-JP"/>
        </w:rPr>
        <w:t xml:space="preserve">SRS </w:t>
      </w:r>
      <w:r>
        <w:rPr>
          <w:rFonts w:eastAsia="MS Mincho"/>
          <w:lang w:eastAsia="ja-JP"/>
        </w:rPr>
        <w:t xml:space="preserve">on an UL LTE </w:t>
      </w:r>
      <w:proofErr w:type="spellStart"/>
      <w:r>
        <w:rPr>
          <w:rFonts w:eastAsia="MS Mincho" w:hint="eastAsia"/>
          <w:lang w:eastAsia="ja-JP"/>
        </w:rPr>
        <w:t>subframe</w:t>
      </w:r>
      <w:proofErr w:type="spellEnd"/>
    </w:p>
    <w:p w14:paraId="3FDE3AA6" w14:textId="77777777" w:rsidR="00515BD2" w:rsidRPr="00383DD0" w:rsidRDefault="00515BD2" w:rsidP="00515BD2">
      <w:pPr>
        <w:numPr>
          <w:ilvl w:val="2"/>
          <w:numId w:val="6"/>
        </w:numPr>
        <w:rPr>
          <w:rFonts w:eastAsia="MS Mincho"/>
          <w:lang w:eastAsia="ja-JP"/>
        </w:rPr>
      </w:pPr>
      <w:r w:rsidRPr="00C22D63">
        <w:rPr>
          <w:rFonts w:eastAsia="MS Mincho"/>
          <w:lang w:eastAsia="ja-JP"/>
        </w:rPr>
        <w:t xml:space="preserve">Further discussion needed on how to handle </w:t>
      </w:r>
      <w:proofErr w:type="spellStart"/>
      <w:r w:rsidRPr="00C22D63">
        <w:rPr>
          <w:rFonts w:eastAsia="MS Mincho"/>
          <w:lang w:eastAsia="ja-JP"/>
        </w:rPr>
        <w:t>sTTI</w:t>
      </w:r>
      <w:proofErr w:type="spellEnd"/>
      <w:r w:rsidRPr="00C22D63">
        <w:rPr>
          <w:rFonts w:eastAsia="MS Mincho"/>
          <w:lang w:eastAsia="ja-JP"/>
        </w:rPr>
        <w:t xml:space="preserve"> transmissions of LTE</w:t>
      </w:r>
    </w:p>
    <w:p w14:paraId="4B7CBE95" w14:textId="77777777" w:rsidR="00515BD2" w:rsidRPr="00C22D63" w:rsidRDefault="00515BD2" w:rsidP="00515BD2">
      <w:pPr>
        <w:numPr>
          <w:ilvl w:val="1"/>
          <w:numId w:val="6"/>
        </w:numPr>
        <w:rPr>
          <w:rFonts w:eastAsia="MS Mincho"/>
          <w:lang w:eastAsia="ja-JP"/>
        </w:rPr>
      </w:pPr>
      <w:r>
        <w:rPr>
          <w:rFonts w:eastAsia="MS Mincho" w:hint="eastAsia"/>
          <w:lang w:eastAsia="ja-JP"/>
        </w:rPr>
        <w:t xml:space="preserve">FFS: </w:t>
      </w:r>
      <w:r w:rsidRPr="00C22D63">
        <w:rPr>
          <w:rFonts w:eastAsia="MS Mincho"/>
          <w:lang w:eastAsia="ja-JP"/>
        </w:rPr>
        <w:t>PRB-level resource allocation</w:t>
      </w:r>
      <w:r>
        <w:rPr>
          <w:rFonts w:eastAsia="MS Mincho" w:hint="eastAsia"/>
          <w:lang w:eastAsia="ja-JP"/>
        </w:rPr>
        <w:t xml:space="preserve"> can be used</w:t>
      </w:r>
      <w:r w:rsidRPr="00C22D63">
        <w:rPr>
          <w:rFonts w:eastAsia="MS Mincho"/>
          <w:lang w:eastAsia="ja-JP"/>
        </w:rPr>
        <w:t xml:space="preserve"> as a tool to avoid for example PSS/SSS, PBCH, EPDCCH, PUCCH, PRACH, as well as PRB-level scheduled LTE PDSCH and LTE PUSCH, of an LTE carrier</w:t>
      </w:r>
    </w:p>
    <w:p w14:paraId="0BA83086" w14:textId="77777777" w:rsidR="00515BD2" w:rsidRPr="00C22D63" w:rsidRDefault="00515BD2" w:rsidP="00515BD2">
      <w:pPr>
        <w:numPr>
          <w:ilvl w:val="1"/>
          <w:numId w:val="6"/>
        </w:numPr>
        <w:rPr>
          <w:rFonts w:eastAsia="MS Mincho"/>
          <w:lang w:eastAsia="ja-JP"/>
        </w:rPr>
      </w:pPr>
      <w:r>
        <w:rPr>
          <w:rFonts w:eastAsia="MS Mincho" w:hint="eastAsia"/>
          <w:lang w:eastAsia="ja-JP"/>
        </w:rPr>
        <w:t xml:space="preserve">FFS: </w:t>
      </w:r>
      <w:r w:rsidRPr="00C22D63">
        <w:rPr>
          <w:rFonts w:eastAsia="MS Mincho"/>
          <w:lang w:eastAsia="ja-JP"/>
        </w:rPr>
        <w:t>Mapping NR signals and chann</w:t>
      </w:r>
      <w:r>
        <w:rPr>
          <w:rFonts w:eastAsia="MS Mincho"/>
          <w:lang w:eastAsia="ja-JP"/>
        </w:rPr>
        <w:t>els around the LTE CRS patterns</w:t>
      </w:r>
    </w:p>
    <w:p w14:paraId="4E5A48B7" w14:textId="77777777" w:rsidR="00515BD2" w:rsidRPr="00236D89" w:rsidRDefault="00515BD2" w:rsidP="00515BD2">
      <w:pPr>
        <w:numPr>
          <w:ilvl w:val="1"/>
          <w:numId w:val="6"/>
        </w:numPr>
        <w:rPr>
          <w:rFonts w:eastAsia="MS Mincho"/>
          <w:lang w:eastAsia="ja-JP"/>
        </w:rPr>
      </w:pPr>
      <w:r w:rsidRPr="00C22D63">
        <w:rPr>
          <w:rFonts w:eastAsia="MS Mincho"/>
          <w:lang w:eastAsia="ja-JP"/>
        </w:rPr>
        <w:t>Note: those mechanisms may be reused from forward compatibility mechanisms</w:t>
      </w:r>
    </w:p>
    <w:p w14:paraId="78A46B9E" w14:textId="77777777" w:rsidR="00515BD2" w:rsidRPr="00A157EF" w:rsidRDefault="00515BD2" w:rsidP="00515BD2">
      <w:pPr>
        <w:numPr>
          <w:ilvl w:val="0"/>
          <w:numId w:val="7"/>
        </w:numPr>
        <w:rPr>
          <w:rFonts w:eastAsia="MS Mincho"/>
          <w:lang w:eastAsia="ja-JP"/>
        </w:rPr>
      </w:pPr>
      <w:r>
        <w:rPr>
          <w:rFonts w:eastAsia="MS Mincho" w:hint="eastAsia"/>
          <w:lang w:eastAsia="ja-JP"/>
        </w:rPr>
        <w:t xml:space="preserve">For adjacent channel/band operation of NR </w:t>
      </w:r>
      <w:r>
        <w:rPr>
          <w:rFonts w:eastAsia="MS Mincho"/>
          <w:lang w:eastAsia="ja-JP"/>
        </w:rPr>
        <w:t>and</w:t>
      </w:r>
      <w:r>
        <w:rPr>
          <w:rFonts w:eastAsia="MS Mincho" w:hint="eastAsia"/>
          <w:lang w:eastAsia="ja-JP"/>
        </w:rPr>
        <w:t xml:space="preserve"> LTE </w:t>
      </w:r>
      <w:r>
        <w:rPr>
          <w:rFonts w:eastAsia="MS Mincho"/>
          <w:lang w:eastAsia="ja-JP"/>
        </w:rPr>
        <w:t>in the unpaired spectrum</w:t>
      </w:r>
    </w:p>
    <w:p w14:paraId="56C1961E" w14:textId="77777777" w:rsidR="00515BD2" w:rsidRDefault="00515BD2" w:rsidP="00515BD2">
      <w:pPr>
        <w:numPr>
          <w:ilvl w:val="1"/>
          <w:numId w:val="7"/>
        </w:numPr>
        <w:rPr>
          <w:rFonts w:eastAsia="MS Mincho"/>
          <w:lang w:eastAsia="ja-JP"/>
        </w:rPr>
      </w:pPr>
      <w:r w:rsidRPr="00A157EF">
        <w:rPr>
          <w:rFonts w:eastAsia="MS Mincho"/>
          <w:lang w:eastAsia="ja-JP"/>
        </w:rPr>
        <w:lastRenderedPageBreak/>
        <w:t xml:space="preserve">Design at least one semi-statically assigned DL/UL transmission direction </w:t>
      </w:r>
      <w:r>
        <w:rPr>
          <w:rFonts w:eastAsia="MS Mincho" w:hint="eastAsia"/>
          <w:lang w:eastAsia="ja-JP"/>
        </w:rPr>
        <w:t xml:space="preserve">configuration </w:t>
      </w:r>
      <w:r w:rsidRPr="00A157EF">
        <w:rPr>
          <w:rFonts w:eastAsia="MS Mincho"/>
          <w:lang w:eastAsia="ja-JP"/>
        </w:rPr>
        <w:t xml:space="preserve">for NR that avoids DL/UL interference with at least one LTE </w:t>
      </w:r>
      <w:r>
        <w:rPr>
          <w:rFonts w:eastAsia="MS Mincho" w:hint="eastAsia"/>
          <w:lang w:eastAsia="ja-JP"/>
        </w:rPr>
        <w:t xml:space="preserve">TDD </w:t>
      </w:r>
      <w:r w:rsidRPr="00A157EF">
        <w:rPr>
          <w:rFonts w:eastAsia="MS Mincho"/>
          <w:lang w:eastAsia="ja-JP"/>
        </w:rPr>
        <w:t>DL/UL configuration</w:t>
      </w:r>
      <w:r>
        <w:rPr>
          <w:rFonts w:eastAsia="MS Mincho" w:hint="eastAsia"/>
          <w:lang w:eastAsia="ja-JP"/>
        </w:rPr>
        <w:t xml:space="preserve"> and special </w:t>
      </w:r>
      <w:proofErr w:type="spellStart"/>
      <w:r>
        <w:rPr>
          <w:rFonts w:eastAsia="MS Mincho" w:hint="eastAsia"/>
          <w:lang w:eastAsia="ja-JP"/>
        </w:rPr>
        <w:t>subframe</w:t>
      </w:r>
      <w:proofErr w:type="spellEnd"/>
      <w:r>
        <w:rPr>
          <w:rFonts w:eastAsia="MS Mincho" w:hint="eastAsia"/>
          <w:lang w:eastAsia="ja-JP"/>
        </w:rPr>
        <w:t xml:space="preserve"> configuration</w:t>
      </w:r>
    </w:p>
    <w:p w14:paraId="5BA8D157" w14:textId="77777777" w:rsidR="00515BD2" w:rsidRDefault="00515BD2" w:rsidP="00515BD2">
      <w:pPr>
        <w:numPr>
          <w:ilvl w:val="1"/>
          <w:numId w:val="7"/>
        </w:numPr>
        <w:rPr>
          <w:rFonts w:eastAsia="MS Mincho"/>
          <w:lang w:eastAsia="ja-JP"/>
        </w:rPr>
      </w:pPr>
      <w:r>
        <w:rPr>
          <w:rFonts w:eastAsia="MS Mincho"/>
          <w:lang w:eastAsia="ja-JP"/>
        </w:rPr>
        <w:t>T</w:t>
      </w:r>
      <w:r>
        <w:rPr>
          <w:rFonts w:eastAsia="MS Mincho" w:hint="eastAsia"/>
          <w:lang w:eastAsia="ja-JP"/>
        </w:rPr>
        <w:t>his does not preclude at most one semi-statica</w:t>
      </w:r>
      <w:r>
        <w:rPr>
          <w:rFonts w:eastAsia="MS Mincho"/>
          <w:lang w:eastAsia="ja-JP"/>
        </w:rPr>
        <w:t xml:space="preserve">lly </w:t>
      </w:r>
      <w:r w:rsidRPr="00A157EF">
        <w:rPr>
          <w:rFonts w:eastAsia="MS Mincho"/>
          <w:lang w:eastAsia="ja-JP"/>
        </w:rPr>
        <w:t>DL/UL transmission direction</w:t>
      </w:r>
      <w:r>
        <w:rPr>
          <w:rFonts w:eastAsia="MS Mincho"/>
          <w:lang w:eastAsia="ja-JP"/>
        </w:rPr>
        <w:t xml:space="preserve"> </w:t>
      </w:r>
      <w:r>
        <w:rPr>
          <w:rFonts w:eastAsia="MS Mincho" w:hint="eastAsia"/>
          <w:lang w:eastAsia="ja-JP"/>
        </w:rPr>
        <w:t>configuration in NR specification</w:t>
      </w:r>
    </w:p>
    <w:p w14:paraId="7673EBA4" w14:textId="77777777" w:rsidR="00515BD2" w:rsidRDefault="00515BD2" w:rsidP="00515BD2">
      <w:pPr>
        <w:numPr>
          <w:ilvl w:val="1"/>
          <w:numId w:val="7"/>
        </w:numPr>
        <w:rPr>
          <w:rFonts w:eastAsia="MS Mincho"/>
          <w:lang w:eastAsia="ja-JP"/>
        </w:rPr>
      </w:pPr>
      <w:r>
        <w:rPr>
          <w:rFonts w:eastAsia="MS Mincho" w:hint="eastAsia"/>
          <w:lang w:eastAsia="ja-JP"/>
        </w:rPr>
        <w:t xml:space="preserve">Note: DL/UL interference also can be avoided by using dynamically </w:t>
      </w:r>
      <w:r>
        <w:rPr>
          <w:rFonts w:eastAsia="MS Mincho"/>
          <w:lang w:eastAsia="ja-JP"/>
        </w:rPr>
        <w:t>assigned</w:t>
      </w:r>
      <w:r>
        <w:rPr>
          <w:rFonts w:eastAsia="MS Mincho" w:hint="eastAsia"/>
          <w:lang w:eastAsia="ja-JP"/>
        </w:rPr>
        <w:t xml:space="preserve"> DL/UL transmission direction in some cases</w:t>
      </w:r>
    </w:p>
    <w:p w14:paraId="5823E824" w14:textId="77777777" w:rsidR="00515BD2" w:rsidRDefault="00515BD2" w:rsidP="00515BD2">
      <w:pPr>
        <w:numPr>
          <w:ilvl w:val="1"/>
          <w:numId w:val="7"/>
        </w:numPr>
        <w:rPr>
          <w:rFonts w:eastAsia="MS Mincho"/>
          <w:lang w:eastAsia="ja-JP"/>
        </w:rPr>
      </w:pPr>
      <w:r>
        <w:rPr>
          <w:rFonts w:eastAsia="MS Mincho" w:hint="eastAsia"/>
          <w:lang w:eastAsia="ja-JP"/>
        </w:rPr>
        <w:t>FFS: Backhaul signaling between NR and LTE for interference coordination</w:t>
      </w:r>
    </w:p>
    <w:p w14:paraId="748D86C4" w14:textId="77777777" w:rsidR="00515BD2" w:rsidRDefault="00515BD2" w:rsidP="00515BD2">
      <w:pPr>
        <w:numPr>
          <w:ilvl w:val="1"/>
          <w:numId w:val="7"/>
        </w:numPr>
        <w:rPr>
          <w:rFonts w:eastAsia="MS Mincho"/>
          <w:lang w:eastAsia="ja-JP"/>
        </w:rPr>
      </w:pPr>
      <w:r>
        <w:rPr>
          <w:rFonts w:eastAsia="MS Mincho" w:hint="eastAsia"/>
          <w:lang w:eastAsia="ja-JP"/>
        </w:rPr>
        <w:t>FFS: Other mechanisms</w:t>
      </w:r>
    </w:p>
    <w:p w14:paraId="7477F74C" w14:textId="77777777" w:rsidR="00515BD2" w:rsidRPr="00C10820" w:rsidRDefault="00515BD2" w:rsidP="00515BD2">
      <w:pPr>
        <w:numPr>
          <w:ilvl w:val="0"/>
          <w:numId w:val="7"/>
        </w:numPr>
        <w:rPr>
          <w:rFonts w:eastAsia="MS Mincho"/>
          <w:lang w:eastAsia="ja-JP"/>
        </w:rPr>
      </w:pPr>
      <w:r>
        <w:rPr>
          <w:rFonts w:eastAsia="MS Mincho" w:hint="eastAsia"/>
          <w:lang w:eastAsia="ja-JP"/>
        </w:rPr>
        <w:t>Note that the above agreements do not imply that UE has to support simultaneous connection of NR and LTE in the same or overlapping carrier</w:t>
      </w:r>
    </w:p>
    <w:p w14:paraId="3957269B" w14:textId="77777777" w:rsidR="00515BD2" w:rsidRPr="00A157EF" w:rsidRDefault="00515BD2" w:rsidP="00515BD2">
      <w:pPr>
        <w:numPr>
          <w:ilvl w:val="0"/>
          <w:numId w:val="7"/>
        </w:numPr>
        <w:rPr>
          <w:rFonts w:eastAsia="MS Mincho"/>
          <w:lang w:eastAsia="ja-JP"/>
        </w:rPr>
      </w:pPr>
      <w:r>
        <w:rPr>
          <w:rFonts w:eastAsia="MS Mincho"/>
          <w:lang w:eastAsia="ja-JP"/>
        </w:rPr>
        <w:t xml:space="preserve">Note: </w:t>
      </w:r>
      <w:r>
        <w:rPr>
          <w:rFonts w:eastAsia="MS Mincho" w:hint="eastAsia"/>
          <w:lang w:eastAsia="ja-JP"/>
        </w:rPr>
        <w:t>that above</w:t>
      </w:r>
      <w:r w:rsidRPr="00C22D63">
        <w:rPr>
          <w:rFonts w:eastAsia="MS Mincho"/>
          <w:lang w:eastAsia="ja-JP"/>
        </w:rPr>
        <w:t xml:space="preserve"> mechanisms may be reused from forward compatibility mechanisms</w:t>
      </w:r>
      <w:r>
        <w:rPr>
          <w:rFonts w:eastAsia="MS Mincho" w:hint="eastAsia"/>
          <w:lang w:eastAsia="ja-JP"/>
        </w:rPr>
        <w:t xml:space="preserve">, or mechanisms for multiplexing </w:t>
      </w:r>
      <w:proofErr w:type="spellStart"/>
      <w:r>
        <w:rPr>
          <w:rFonts w:eastAsia="MS Mincho" w:hint="eastAsia"/>
          <w:lang w:eastAsia="ja-JP"/>
        </w:rPr>
        <w:t>eMBB</w:t>
      </w:r>
      <w:proofErr w:type="spellEnd"/>
      <w:r>
        <w:rPr>
          <w:rFonts w:eastAsia="MS Mincho" w:hint="eastAsia"/>
          <w:lang w:eastAsia="ja-JP"/>
        </w:rPr>
        <w:t xml:space="preserve"> and URLLC on the DL, or mini-slot</w:t>
      </w:r>
    </w:p>
    <w:p w14:paraId="3DDB6238" w14:textId="77777777" w:rsidR="007849F1" w:rsidRDefault="007849F1" w:rsidP="00F73844">
      <w:pPr>
        <w:spacing w:after="120"/>
        <w:jc w:val="both"/>
        <w:rPr>
          <w:rFonts w:eastAsia="MS Mincho"/>
        </w:rPr>
      </w:pPr>
    </w:p>
    <w:p w14:paraId="69A5A2E6" w14:textId="1C66D63F" w:rsidR="002C7AD7" w:rsidRDefault="002C7AD7" w:rsidP="00F73844">
      <w:pPr>
        <w:spacing w:after="120"/>
        <w:jc w:val="both"/>
        <w:rPr>
          <w:rFonts w:eastAsia="MS Mincho"/>
        </w:rPr>
      </w:pPr>
      <w:r>
        <w:rPr>
          <w:rFonts w:eastAsia="MS Mincho"/>
        </w:rPr>
        <w:t>In this contribution, we discuss the various aspects of efficient coexistence between NR and LTE and the implications of such coexistence for NR design</w:t>
      </w:r>
      <w:r w:rsidR="005F3BBF">
        <w:rPr>
          <w:rFonts w:eastAsia="MS Mincho"/>
        </w:rPr>
        <w:t xml:space="preserve"> considering some elements of the above agreement</w:t>
      </w:r>
      <w:r>
        <w:rPr>
          <w:rFonts w:eastAsia="MS Mincho"/>
        </w:rPr>
        <w:t>.</w:t>
      </w:r>
    </w:p>
    <w:p w14:paraId="12673DC1" w14:textId="77777777" w:rsidR="00F73844" w:rsidRDefault="002C7AD7" w:rsidP="000F0ED3">
      <w:pPr>
        <w:pStyle w:val="Heading1"/>
        <w:rPr>
          <w:b/>
          <w:bCs/>
        </w:rPr>
      </w:pPr>
      <w:r>
        <w:rPr>
          <w:b/>
          <w:bCs/>
        </w:rPr>
        <w:t>Discussion</w:t>
      </w:r>
    </w:p>
    <w:p w14:paraId="1C71482D" w14:textId="059A289E" w:rsidR="00382C6F" w:rsidRDefault="00382C6F" w:rsidP="00F73844">
      <w:r>
        <w:t>The key motivation for coexistence of NR and LTE in the same frequency band is to ensure a smooth migration path for the band from LTE to NR. From this perspective, it is beneficial to be able to support both LTE and NR UEs in the same band during the transition period from LTE to NR. Furthermore, the granularity with which resources can be partitioned between LTE and NR will determine the efficiency of the system during the migration.</w:t>
      </w:r>
    </w:p>
    <w:p w14:paraId="0614EE46" w14:textId="77777777" w:rsidR="00382C6F" w:rsidRDefault="00382C6F" w:rsidP="00F73844"/>
    <w:p w14:paraId="27715CCD" w14:textId="074C7D58" w:rsidR="00BA2C70" w:rsidRDefault="000B35CC" w:rsidP="00F73844">
      <w:pPr>
        <w:rPr>
          <w:rFonts w:eastAsia="MS Mincho"/>
          <w:lang w:eastAsia="ja-JP"/>
        </w:rPr>
      </w:pPr>
      <w:r>
        <w:t xml:space="preserve">The agreement from RAN1#87 states that </w:t>
      </w:r>
      <w:r>
        <w:rPr>
          <w:rFonts w:eastAsia="MS Mincho"/>
          <w:lang w:eastAsia="ja-JP"/>
        </w:rPr>
        <w:t>NR design should</w:t>
      </w:r>
      <w:r w:rsidRPr="00970A18">
        <w:rPr>
          <w:rFonts w:eastAsia="MS Mincho"/>
          <w:lang w:eastAsia="ja-JP"/>
        </w:rPr>
        <w:t xml:space="preserve"> consider support of flexible starting point and duration of scheduled resources as a tool to avoid for example the control region of MBSFN </w:t>
      </w:r>
      <w:proofErr w:type="spellStart"/>
      <w:r w:rsidRPr="00970A18">
        <w:rPr>
          <w:rFonts w:eastAsia="MS Mincho"/>
          <w:lang w:eastAsia="ja-JP"/>
        </w:rPr>
        <w:t>subframes</w:t>
      </w:r>
      <w:proofErr w:type="spellEnd"/>
      <w:r w:rsidRPr="00970A18">
        <w:rPr>
          <w:rFonts w:eastAsia="MS Mincho"/>
          <w:lang w:eastAsia="ja-JP"/>
        </w:rPr>
        <w:t xml:space="preserve"> and be able to use resources in the unused </w:t>
      </w:r>
      <w:r>
        <w:rPr>
          <w:rFonts w:eastAsia="MS Mincho" w:hint="eastAsia"/>
          <w:lang w:eastAsia="ja-JP"/>
        </w:rPr>
        <w:t xml:space="preserve">MBSFN </w:t>
      </w:r>
      <w:proofErr w:type="spellStart"/>
      <w:r w:rsidRPr="00970A18">
        <w:rPr>
          <w:rFonts w:eastAsia="MS Mincho"/>
          <w:lang w:eastAsia="ja-JP"/>
        </w:rPr>
        <w:t>subframes</w:t>
      </w:r>
      <w:proofErr w:type="spellEnd"/>
      <w:r w:rsidRPr="00970A18">
        <w:rPr>
          <w:rFonts w:eastAsia="MS Mincho"/>
          <w:lang w:eastAsia="ja-JP"/>
        </w:rPr>
        <w:t xml:space="preserve"> of an LTE carrier</w:t>
      </w:r>
      <w:r>
        <w:rPr>
          <w:rFonts w:eastAsia="MS Mincho"/>
          <w:lang w:eastAsia="ja-JP"/>
        </w:rPr>
        <w:t xml:space="preserve">. </w:t>
      </w:r>
      <w:r w:rsidR="00BA2C70">
        <w:rPr>
          <w:rFonts w:eastAsia="MS Mincho"/>
          <w:lang w:eastAsia="ja-JP"/>
        </w:rPr>
        <w:t xml:space="preserve">It has also been agreed to study further the possibility of avoiding OFDM symbols carrying CRS in the LTE </w:t>
      </w:r>
      <w:proofErr w:type="spellStart"/>
      <w:r w:rsidR="00BA2C70">
        <w:rPr>
          <w:rFonts w:eastAsia="MS Mincho"/>
          <w:lang w:eastAsia="ja-JP"/>
        </w:rPr>
        <w:t>subframe</w:t>
      </w:r>
      <w:proofErr w:type="spellEnd"/>
      <w:r w:rsidR="00BA2C70">
        <w:rPr>
          <w:rFonts w:eastAsia="MS Mincho"/>
          <w:lang w:eastAsia="ja-JP"/>
        </w:rPr>
        <w:t xml:space="preserve">. It has also been agreed to avoid OFDM symbols carrying SRS in an LTE </w:t>
      </w:r>
      <w:proofErr w:type="spellStart"/>
      <w:r w:rsidR="00BA2C70">
        <w:rPr>
          <w:rFonts w:eastAsia="MS Mincho"/>
          <w:lang w:eastAsia="ja-JP"/>
        </w:rPr>
        <w:t>subframe</w:t>
      </w:r>
      <w:proofErr w:type="spellEnd"/>
      <w:r w:rsidR="00BA2C70">
        <w:rPr>
          <w:rFonts w:eastAsia="MS Mincho"/>
          <w:lang w:eastAsia="ja-JP"/>
        </w:rPr>
        <w:t xml:space="preserve"> and it has been recognized that further discussion is needed on how to avoid </w:t>
      </w:r>
      <w:proofErr w:type="spellStart"/>
      <w:r w:rsidR="00BA2C70">
        <w:rPr>
          <w:rFonts w:eastAsia="MS Mincho"/>
          <w:lang w:eastAsia="ja-JP"/>
        </w:rPr>
        <w:t>sTTI</w:t>
      </w:r>
      <w:proofErr w:type="spellEnd"/>
      <w:r w:rsidR="00BA2C70">
        <w:rPr>
          <w:rFonts w:eastAsia="MS Mincho"/>
          <w:lang w:eastAsia="ja-JP"/>
        </w:rPr>
        <w:t xml:space="preserve"> transmissions in LTE. </w:t>
      </w:r>
    </w:p>
    <w:p w14:paraId="3A41C5E1" w14:textId="77777777" w:rsidR="00BA2C70" w:rsidRDefault="00BA2C70" w:rsidP="00F73844">
      <w:pPr>
        <w:rPr>
          <w:rFonts w:eastAsia="MS Mincho"/>
          <w:lang w:eastAsia="ja-JP"/>
        </w:rPr>
      </w:pPr>
    </w:p>
    <w:p w14:paraId="27BB00BB" w14:textId="23077E3D" w:rsidR="000B35CC" w:rsidRDefault="000B35CC" w:rsidP="00F73844">
      <w:pPr>
        <w:rPr>
          <w:rFonts w:eastAsia="MS Mincho"/>
          <w:lang w:eastAsia="ja-JP"/>
        </w:rPr>
      </w:pPr>
      <w:r>
        <w:rPr>
          <w:rFonts w:eastAsia="MS Mincho"/>
          <w:lang w:eastAsia="ja-JP"/>
        </w:rPr>
        <w:t xml:space="preserve">One option that has been listed for further study is the use of mini-slots or sub-slots. </w:t>
      </w:r>
      <w:r w:rsidR="00BA2C70">
        <w:rPr>
          <w:rFonts w:eastAsia="MS Mincho"/>
          <w:lang w:eastAsia="ja-JP"/>
        </w:rPr>
        <w:t xml:space="preserve">Mini-slots are being discussed in general for the design of NR. </w:t>
      </w:r>
      <w:r w:rsidR="001334D1">
        <w:rPr>
          <w:rFonts w:eastAsia="MS Mincho"/>
          <w:lang w:eastAsia="ja-JP"/>
        </w:rPr>
        <w:t>It may be noted that many motivations have already been discussed for the ability of a mini-slot to start at any OFDM symbol. These motivations include the following.</w:t>
      </w:r>
    </w:p>
    <w:p w14:paraId="5C9D6FC1" w14:textId="77777777" w:rsidR="001334D1" w:rsidRPr="001334D1" w:rsidRDefault="001334D1" w:rsidP="001334D1">
      <w:pPr>
        <w:numPr>
          <w:ilvl w:val="0"/>
          <w:numId w:val="8"/>
        </w:numPr>
      </w:pPr>
      <w:r w:rsidRPr="001334D1">
        <w:t>Supporting very low latency (e.g. forms of URLLC with tight delay requirements)</w:t>
      </w:r>
    </w:p>
    <w:p w14:paraId="06FDF841" w14:textId="5E332778" w:rsidR="001334D1" w:rsidRDefault="001334D1" w:rsidP="001334D1">
      <w:pPr>
        <w:numPr>
          <w:ilvl w:val="0"/>
          <w:numId w:val="8"/>
        </w:numPr>
      </w:pPr>
      <w:r w:rsidRPr="001334D1">
        <w:t xml:space="preserve">Operation in unlicensed spectrum where it is desirable to start transmissions as soon as </w:t>
      </w:r>
      <w:r>
        <w:t>possible after a successful LBT operation.</w:t>
      </w:r>
    </w:p>
    <w:p w14:paraId="0CFBA23F" w14:textId="77777777" w:rsidR="001334D1" w:rsidRDefault="001334D1" w:rsidP="001334D1"/>
    <w:p w14:paraId="6B7E085F" w14:textId="45545E89" w:rsidR="001334D1" w:rsidRDefault="001334D1" w:rsidP="001334D1">
      <w:r>
        <w:t xml:space="preserve">The </w:t>
      </w:r>
      <w:r w:rsidR="00BA2C70">
        <w:t xml:space="preserve">techniques listed above for coexistence of LTE and NR such as avoiding LTE </w:t>
      </w:r>
      <w:proofErr w:type="spellStart"/>
      <w:r w:rsidR="00BA2C70">
        <w:t>subframe</w:t>
      </w:r>
      <w:proofErr w:type="spellEnd"/>
      <w:r w:rsidR="00BA2C70">
        <w:t xml:space="preserve"> control regions, CRS or SRS carrying OFDM symbols etc., can be considered as additional motivations that will require the NR design to have flexible starting points. Considering that some of these techniques have already been agreed</w:t>
      </w:r>
      <w:r w:rsidR="00EC79EC">
        <w:t>,</w:t>
      </w:r>
      <w:r w:rsidR="00031AAA">
        <w:t xml:space="preserve"> the starting points for mini-slots should be made flexible enough to be able to avoid specific parts of LTE </w:t>
      </w:r>
      <w:proofErr w:type="spellStart"/>
      <w:r w:rsidR="00031AAA">
        <w:t>subframes</w:t>
      </w:r>
      <w:proofErr w:type="spellEnd"/>
      <w:r w:rsidR="00EC79EC">
        <w:t xml:space="preserve"> in as flexible manner as possible</w:t>
      </w:r>
      <w:r w:rsidR="00031AAA">
        <w:t>.</w:t>
      </w:r>
      <w:r w:rsidR="00EC79EC">
        <w:t xml:space="preserve"> Therefore, to facilitate LTE and NR coexistence, we reiterate the proposals for mini-slots outlined in </w:t>
      </w:r>
      <w:r w:rsidR="00EC79EC">
        <w:fldChar w:fldCharType="begin"/>
      </w:r>
      <w:r w:rsidR="00EC79EC">
        <w:instrText xml:space="preserve"> REF _Ref471669825 \r \h </w:instrText>
      </w:r>
      <w:r w:rsidR="00EC79EC">
        <w:fldChar w:fldCharType="separate"/>
      </w:r>
      <w:r w:rsidR="00EC79EC">
        <w:t>[4]</w:t>
      </w:r>
      <w:r w:rsidR="00EC79EC">
        <w:fldChar w:fldCharType="end"/>
      </w:r>
      <w:r w:rsidR="00EC79EC">
        <w:t>.</w:t>
      </w:r>
    </w:p>
    <w:p w14:paraId="6AAA222F" w14:textId="77777777" w:rsidR="00EC79EC" w:rsidRDefault="00EC79EC" w:rsidP="00EC79EC">
      <w:pPr>
        <w:pStyle w:val="BodyText"/>
      </w:pPr>
    </w:p>
    <w:p w14:paraId="45A47977" w14:textId="4DF283BB" w:rsidR="00EC79EC" w:rsidRDefault="00EC79EC" w:rsidP="00EC79EC">
      <w:pPr>
        <w:pStyle w:val="BodyText"/>
      </w:pPr>
      <w:r w:rsidRPr="00EC79EC">
        <w:rPr>
          <w:b/>
        </w:rPr>
        <w:t>Proposal:</w:t>
      </w:r>
      <w:r>
        <w:t xml:space="preserve"> A mini-slot (sub-slot) is characterized by</w:t>
      </w:r>
    </w:p>
    <w:p w14:paraId="51D49B14" w14:textId="77777777" w:rsidR="00EC79EC" w:rsidRDefault="00EC79EC" w:rsidP="00EC79EC">
      <w:pPr>
        <w:pStyle w:val="BodyText"/>
        <w:numPr>
          <w:ilvl w:val="0"/>
          <w:numId w:val="9"/>
        </w:numPr>
        <w:jc w:val="both"/>
      </w:pPr>
      <w:r>
        <w:t>May start at ‘any’ OFDM symbol</w:t>
      </w:r>
    </w:p>
    <w:p w14:paraId="644E27BA" w14:textId="77777777" w:rsidR="00EC79EC" w:rsidRDefault="00EC79EC" w:rsidP="00EC79EC">
      <w:pPr>
        <w:pStyle w:val="BodyText"/>
        <w:numPr>
          <w:ilvl w:val="0"/>
          <w:numId w:val="9"/>
        </w:numPr>
        <w:jc w:val="both"/>
      </w:pPr>
      <w:r>
        <w:t>Can have a length up to ‘slot duration – 1’ (i.e. 14-1=13 symbols or 7-1=6 symbols, depending on the configured slot duration)</w:t>
      </w:r>
    </w:p>
    <w:p w14:paraId="25570621" w14:textId="77777777" w:rsidR="00EC79EC" w:rsidRDefault="00EC79EC" w:rsidP="00EC79EC">
      <w:pPr>
        <w:pStyle w:val="BodyText"/>
        <w:numPr>
          <w:ilvl w:val="0"/>
          <w:numId w:val="9"/>
        </w:numPr>
        <w:jc w:val="both"/>
      </w:pPr>
      <w:r>
        <w:t>Ends at a slot boundary at the latest (at least in case of aggregation with subsequent slots)</w:t>
      </w:r>
    </w:p>
    <w:p w14:paraId="1692E79F" w14:textId="77777777" w:rsidR="00EC79EC" w:rsidRDefault="00EC79EC" w:rsidP="00EC79EC">
      <w:pPr>
        <w:pStyle w:val="BodyText"/>
        <w:numPr>
          <w:ilvl w:val="0"/>
          <w:numId w:val="9"/>
        </w:numPr>
        <w:jc w:val="both"/>
      </w:pPr>
      <w:r>
        <w:t>Can be aggregated by a subsequent slot (to allow for longer transmission durations in case of e.g. unlicensed spectrum)</w:t>
      </w:r>
    </w:p>
    <w:p w14:paraId="50BB89DB" w14:textId="77777777" w:rsidR="00EC79EC" w:rsidRDefault="00EC79EC" w:rsidP="001334D1"/>
    <w:p w14:paraId="45813F32" w14:textId="2080915B" w:rsidR="000B35CC" w:rsidRDefault="00FE0A42" w:rsidP="00F73844">
      <w:r>
        <w:t>Another aspect that has been listed for further study in the agreement is the m</w:t>
      </w:r>
      <w:r w:rsidRPr="00FE0A42">
        <w:t xml:space="preserve">apping </w:t>
      </w:r>
      <w:r>
        <w:t xml:space="preserve">of </w:t>
      </w:r>
      <w:r w:rsidRPr="00FE0A42">
        <w:t>NR signals and channels around the LTE CRS patterns</w:t>
      </w:r>
      <w:r>
        <w:t xml:space="preserve">. </w:t>
      </w:r>
      <w:r w:rsidR="000C15C2">
        <w:t xml:space="preserve">Defining NR with such detailed constraints based on a legacy system has some significant disadvantages. It introduces unnecessary complexity without necessarily providing much benefit. If </w:t>
      </w:r>
      <w:r w:rsidR="000C15C2">
        <w:lastRenderedPageBreak/>
        <w:t xml:space="preserve">NR is designed to be flexible including the use of mini-slots, it can be used in a wide variety of situations for a broad range of use cases while at the same time coexisting with exiting LTE deployments. Defining data mapping rules that wrap around the LTE CRS could allow NR to coexist with LTE with a finer granularity, but the additional gain obtained from fixing data mapping rules to map around the LTE CRS is not likely to be worth the implementation complexity and effort required to avoid CRS. Furthermore, it will result in some signaling overhead needed to indicate to the UE when such a mapping should be used and when it should not be. </w:t>
      </w:r>
    </w:p>
    <w:p w14:paraId="1ABB1464" w14:textId="77777777" w:rsidR="00840832" w:rsidRDefault="00840832" w:rsidP="00F73844">
      <w:pPr>
        <w:rPr>
          <w:b/>
        </w:rPr>
      </w:pPr>
    </w:p>
    <w:p w14:paraId="7F5501E2" w14:textId="381F1024" w:rsidR="000C15C2" w:rsidRPr="000C15C2" w:rsidRDefault="00161572" w:rsidP="00F73844">
      <w:pPr>
        <w:rPr>
          <w:b/>
        </w:rPr>
      </w:pPr>
      <w:r>
        <w:rPr>
          <w:b/>
        </w:rPr>
        <w:t>Observation</w:t>
      </w:r>
      <w:r w:rsidR="000C15C2">
        <w:rPr>
          <w:b/>
        </w:rPr>
        <w:t xml:space="preserve">: </w:t>
      </w:r>
      <w:r w:rsidR="000C15C2" w:rsidRPr="00C22D63">
        <w:rPr>
          <w:rFonts w:eastAsia="MS Mincho"/>
          <w:lang w:eastAsia="ja-JP"/>
        </w:rPr>
        <w:t>Mapping NR signals and chann</w:t>
      </w:r>
      <w:r w:rsidR="000C15C2">
        <w:rPr>
          <w:rFonts w:eastAsia="MS Mincho"/>
          <w:lang w:eastAsia="ja-JP"/>
        </w:rPr>
        <w:t>els around the LTE CRS patterns</w:t>
      </w:r>
      <w:r>
        <w:rPr>
          <w:rFonts w:eastAsia="MS Mincho"/>
          <w:lang w:eastAsia="ja-JP"/>
        </w:rPr>
        <w:t xml:space="preserve"> puts unnecessary constraints on NR design without providing benefits that overcome the disadvantage of such constraints.</w:t>
      </w:r>
    </w:p>
    <w:p w14:paraId="7409959F" w14:textId="289B56A7" w:rsidR="00766E0F" w:rsidRDefault="00766E0F" w:rsidP="00F73844"/>
    <w:p w14:paraId="20BDC2DA" w14:textId="6FE9B675" w:rsidR="00086A4B" w:rsidRDefault="00086A4B" w:rsidP="00F73844">
      <w:r>
        <w:t xml:space="preserve">From the various methods of coexistence of NR and LTE in the same band discussed above, it is apparent that it is beneficial for NR </w:t>
      </w:r>
      <w:r w:rsidR="00592A97">
        <w:t>to be designed such that it can operate on a carrier when the carrier is not always available. Such constraints are interestingly similar in some cases to operation on carriers in unlicensed spectrum as well. The ability to operate under such constraints is significantly enhanced if NR design minimizes the need for signals that need to be transmitted regularly with high frequency, such as synchronization signals, and if NR design allows for operation even when fixed timing relationships are not feasible, e.g., HARQ feedback always following a transmission after a fixed gap between the original transmission and the feedback.</w:t>
      </w:r>
    </w:p>
    <w:p w14:paraId="2AE8D719" w14:textId="77777777" w:rsidR="00086A4B" w:rsidRDefault="00086A4B" w:rsidP="00F73844">
      <w:pPr>
        <w:rPr>
          <w:b/>
        </w:rPr>
      </w:pPr>
    </w:p>
    <w:p w14:paraId="4190B2DF" w14:textId="6A580002" w:rsidR="00086A4B" w:rsidRDefault="00086A4B" w:rsidP="00F73844">
      <w:r w:rsidRPr="00B33FD2">
        <w:rPr>
          <w:b/>
        </w:rPr>
        <w:t xml:space="preserve">Proposal: </w:t>
      </w:r>
      <w:r>
        <w:t>NR should be designed such that</w:t>
      </w:r>
      <w:r w:rsidR="00592A97">
        <w:t xml:space="preserve"> it can operate on carriers that are not available continuously</w:t>
      </w:r>
      <w:r>
        <w:t>.</w:t>
      </w:r>
      <w:r w:rsidR="00592A97">
        <w:t xml:space="preserve"> Persistent transmission of signals with high frequency and inability to operate without fixed timing relationships should be avoided.</w:t>
      </w:r>
    </w:p>
    <w:p w14:paraId="4D054789" w14:textId="5E962171" w:rsidR="00382C6F" w:rsidRDefault="00382C6F" w:rsidP="00F73844"/>
    <w:p w14:paraId="408DE19D" w14:textId="29AB6E5A" w:rsidR="00382C6F" w:rsidRPr="00C301A8" w:rsidRDefault="00C301A8" w:rsidP="00C301A8">
      <w:pPr>
        <w:rPr>
          <w:rFonts w:eastAsia="MS Mincho"/>
          <w:lang w:eastAsia="ja-JP"/>
        </w:rPr>
      </w:pPr>
      <w:r>
        <w:t>Finally, the agreement from RAN1#87 also discusses the inclusion in the NR d</w:t>
      </w:r>
      <w:r w:rsidRPr="00A157EF">
        <w:rPr>
          <w:rFonts w:eastAsia="MS Mincho"/>
          <w:lang w:eastAsia="ja-JP"/>
        </w:rPr>
        <w:t xml:space="preserve">esign </w:t>
      </w:r>
      <w:r>
        <w:rPr>
          <w:rFonts w:eastAsia="MS Mincho"/>
          <w:lang w:eastAsia="ja-JP"/>
        </w:rPr>
        <w:t xml:space="preserve">of </w:t>
      </w:r>
      <w:r w:rsidRPr="00A157EF">
        <w:rPr>
          <w:rFonts w:eastAsia="MS Mincho"/>
          <w:lang w:eastAsia="ja-JP"/>
        </w:rPr>
        <w:t xml:space="preserve">at least one semi-statically assigned DL/UL transmission direction </w:t>
      </w:r>
      <w:r>
        <w:rPr>
          <w:rFonts w:eastAsia="MS Mincho" w:hint="eastAsia"/>
          <w:lang w:eastAsia="ja-JP"/>
        </w:rPr>
        <w:t xml:space="preserve">configuration </w:t>
      </w:r>
      <w:r w:rsidRPr="00A157EF">
        <w:rPr>
          <w:rFonts w:eastAsia="MS Mincho"/>
          <w:lang w:eastAsia="ja-JP"/>
        </w:rPr>
        <w:t xml:space="preserve">that avoids DL/UL interference with at least one LTE </w:t>
      </w:r>
      <w:r>
        <w:rPr>
          <w:rFonts w:eastAsia="MS Mincho" w:hint="eastAsia"/>
          <w:lang w:eastAsia="ja-JP"/>
        </w:rPr>
        <w:t xml:space="preserve">TDD </w:t>
      </w:r>
      <w:r w:rsidRPr="00A157EF">
        <w:rPr>
          <w:rFonts w:eastAsia="MS Mincho"/>
          <w:lang w:eastAsia="ja-JP"/>
        </w:rPr>
        <w:t>DL/UL configuration</w:t>
      </w:r>
      <w:r>
        <w:rPr>
          <w:rFonts w:eastAsia="MS Mincho" w:hint="eastAsia"/>
          <w:lang w:eastAsia="ja-JP"/>
        </w:rPr>
        <w:t xml:space="preserve"> and special </w:t>
      </w:r>
      <w:proofErr w:type="spellStart"/>
      <w:r>
        <w:rPr>
          <w:rFonts w:eastAsia="MS Mincho" w:hint="eastAsia"/>
          <w:lang w:eastAsia="ja-JP"/>
        </w:rPr>
        <w:t>subframe</w:t>
      </w:r>
      <w:proofErr w:type="spellEnd"/>
      <w:r>
        <w:rPr>
          <w:rFonts w:eastAsia="MS Mincho" w:hint="eastAsia"/>
          <w:lang w:eastAsia="ja-JP"/>
        </w:rPr>
        <w:t xml:space="preserve"> configuration</w:t>
      </w:r>
      <w:r>
        <w:rPr>
          <w:rFonts w:eastAsia="MS Mincho"/>
          <w:lang w:eastAsia="ja-JP"/>
        </w:rPr>
        <w:t xml:space="preserve">. </w:t>
      </w:r>
      <w:r w:rsidR="00D81AAA">
        <w:rPr>
          <w:rFonts w:eastAsia="MS Mincho"/>
          <w:lang w:eastAsia="ja-JP"/>
        </w:rPr>
        <w:t xml:space="preserve">The agreement also notes that </w:t>
      </w:r>
      <w:r w:rsidR="00D81AAA">
        <w:rPr>
          <w:rFonts w:eastAsia="MS Mincho" w:hint="eastAsia"/>
          <w:lang w:eastAsia="ja-JP"/>
        </w:rPr>
        <w:t xml:space="preserve">DL/UL interference also can be avoided by using dynamically </w:t>
      </w:r>
      <w:r w:rsidR="00D81AAA">
        <w:rPr>
          <w:rFonts w:eastAsia="MS Mincho"/>
          <w:lang w:eastAsia="ja-JP"/>
        </w:rPr>
        <w:t>assigned</w:t>
      </w:r>
      <w:r w:rsidR="00D81AAA">
        <w:rPr>
          <w:rFonts w:eastAsia="MS Mincho" w:hint="eastAsia"/>
          <w:lang w:eastAsia="ja-JP"/>
        </w:rPr>
        <w:t xml:space="preserve"> DL/UL transmission direction in some cases</w:t>
      </w:r>
      <w:r w:rsidR="00D81AAA">
        <w:rPr>
          <w:rFonts w:eastAsia="MS Mincho"/>
          <w:lang w:eastAsia="ja-JP"/>
        </w:rPr>
        <w:t xml:space="preserve">. It should be noted that avoiding DL/UL interference can clearly be done dynamically </w:t>
      </w:r>
      <w:r w:rsidR="00DB1F66">
        <w:rPr>
          <w:rFonts w:eastAsia="MS Mincho"/>
          <w:lang w:eastAsia="ja-JP"/>
        </w:rPr>
        <w:t xml:space="preserve">in all cases </w:t>
      </w:r>
      <w:r w:rsidR="00D81AAA">
        <w:rPr>
          <w:rFonts w:eastAsia="MS Mincho"/>
          <w:lang w:eastAsia="ja-JP"/>
        </w:rPr>
        <w:t>without the need for defining a semi-static configuration although using a semi-static configuration could enabl</w:t>
      </w:r>
      <w:r w:rsidR="00DB1F66">
        <w:rPr>
          <w:rFonts w:eastAsia="MS Mincho"/>
          <w:lang w:eastAsia="ja-JP"/>
        </w:rPr>
        <w:t xml:space="preserve">e some reduction in overhead depending on the eventual design details. The agreement lists for further study, potential backhaul signaling between LTE and NR for interference coordination. The need for specification of any backhaul signaling over and above the means already used to coordinate TDD configurations within an operator’s network and between operators’ networks is not clear. </w:t>
      </w:r>
    </w:p>
    <w:p w14:paraId="672AF837" w14:textId="77777777" w:rsidR="00286F19" w:rsidRPr="00286F19" w:rsidRDefault="005600AD" w:rsidP="00286F19">
      <w:pPr>
        <w:pStyle w:val="Heading1"/>
        <w:rPr>
          <w:b/>
          <w:bCs/>
        </w:rPr>
      </w:pPr>
      <w:r>
        <w:rPr>
          <w:b/>
          <w:bCs/>
        </w:rPr>
        <w:t>Conclusions</w:t>
      </w:r>
    </w:p>
    <w:p w14:paraId="768142B3" w14:textId="28206CB4" w:rsidR="00834A0C" w:rsidRPr="005600AD" w:rsidRDefault="005600AD" w:rsidP="00AA6868">
      <w:r>
        <w:t xml:space="preserve">We discussed the coexistence of LTE and NR in the same band </w:t>
      </w:r>
      <w:r w:rsidR="00DB1F66">
        <w:t xml:space="preserve">in light of the agreements made in RAN1#87 </w:t>
      </w:r>
      <w:r>
        <w:t>and made the following observations and proposals.</w:t>
      </w:r>
    </w:p>
    <w:p w14:paraId="57E8BC5F" w14:textId="342BAF8C" w:rsidR="00AA6868" w:rsidRDefault="00AA6868" w:rsidP="00AA6868">
      <w:pPr>
        <w:rPr>
          <w:b/>
        </w:rPr>
      </w:pPr>
    </w:p>
    <w:p w14:paraId="440448B7" w14:textId="77777777" w:rsidR="00610915" w:rsidRPr="000C15C2" w:rsidRDefault="00610915" w:rsidP="00610915">
      <w:pPr>
        <w:rPr>
          <w:b/>
        </w:rPr>
      </w:pPr>
      <w:r>
        <w:rPr>
          <w:b/>
        </w:rPr>
        <w:t xml:space="preserve">Observation: </w:t>
      </w:r>
      <w:r w:rsidRPr="00C22D63">
        <w:rPr>
          <w:rFonts w:eastAsia="MS Mincho"/>
          <w:lang w:eastAsia="ja-JP"/>
        </w:rPr>
        <w:t>Mapping NR signals and chann</w:t>
      </w:r>
      <w:r>
        <w:rPr>
          <w:rFonts w:eastAsia="MS Mincho"/>
          <w:lang w:eastAsia="ja-JP"/>
        </w:rPr>
        <w:t>els around the LTE CRS patterns puts unnecessary constraints on NR design without providing benefits that overcome the disadvantage of such constraints.</w:t>
      </w:r>
    </w:p>
    <w:p w14:paraId="0AFA6BC0" w14:textId="73667583" w:rsidR="00610915" w:rsidRDefault="00610915" w:rsidP="00AA6868">
      <w:pPr>
        <w:rPr>
          <w:b/>
        </w:rPr>
      </w:pPr>
    </w:p>
    <w:p w14:paraId="6F0FE690" w14:textId="77777777" w:rsidR="00610915" w:rsidRDefault="00610915" w:rsidP="00610915">
      <w:pPr>
        <w:pStyle w:val="BodyText"/>
      </w:pPr>
      <w:r w:rsidRPr="00EC79EC">
        <w:rPr>
          <w:b/>
        </w:rPr>
        <w:t>Proposal:</w:t>
      </w:r>
      <w:r>
        <w:t xml:space="preserve"> A mini-slot (sub-slot) is characterized by</w:t>
      </w:r>
    </w:p>
    <w:p w14:paraId="500D02E5" w14:textId="77777777" w:rsidR="00610915" w:rsidRDefault="00610915" w:rsidP="00610915">
      <w:pPr>
        <w:pStyle w:val="BodyText"/>
        <w:numPr>
          <w:ilvl w:val="0"/>
          <w:numId w:val="9"/>
        </w:numPr>
        <w:jc w:val="both"/>
      </w:pPr>
      <w:r>
        <w:t>May start at ‘any’ OFDM symbol</w:t>
      </w:r>
    </w:p>
    <w:p w14:paraId="1E34EA47" w14:textId="77777777" w:rsidR="00610915" w:rsidRDefault="00610915" w:rsidP="00610915">
      <w:pPr>
        <w:pStyle w:val="BodyText"/>
        <w:numPr>
          <w:ilvl w:val="0"/>
          <w:numId w:val="9"/>
        </w:numPr>
        <w:jc w:val="both"/>
      </w:pPr>
      <w:r>
        <w:t>Can have a length up to ‘slot duration – 1’ (i.e. 14-1=13 symbols or 7-1=6 symbols, depending on the configured slot duration)</w:t>
      </w:r>
    </w:p>
    <w:p w14:paraId="6F0C6C86" w14:textId="77777777" w:rsidR="00610915" w:rsidRDefault="00610915" w:rsidP="00610915">
      <w:pPr>
        <w:pStyle w:val="BodyText"/>
        <w:numPr>
          <w:ilvl w:val="0"/>
          <w:numId w:val="9"/>
        </w:numPr>
        <w:jc w:val="both"/>
      </w:pPr>
      <w:r>
        <w:t>Ends at a slot boundary at the latest (at least in case of aggregation with subsequent slots)</w:t>
      </w:r>
    </w:p>
    <w:p w14:paraId="3CB7050C" w14:textId="0475932B" w:rsidR="00610915" w:rsidRPr="00610915" w:rsidRDefault="00610915" w:rsidP="00AA6868">
      <w:pPr>
        <w:pStyle w:val="BodyText"/>
        <w:numPr>
          <w:ilvl w:val="0"/>
          <w:numId w:val="9"/>
        </w:numPr>
        <w:jc w:val="both"/>
      </w:pPr>
      <w:r>
        <w:t>Can be aggregated by a subsequent slot (to allow for longer transmission durations in case of e.g. unlicensed spectrum)</w:t>
      </w:r>
    </w:p>
    <w:p w14:paraId="44CAE199" w14:textId="77777777" w:rsidR="00592A97" w:rsidRDefault="00592A97" w:rsidP="00AE069B"/>
    <w:p w14:paraId="363D8B3E" w14:textId="77777777" w:rsidR="00592A97" w:rsidRPr="005C1FFB" w:rsidRDefault="00592A97" w:rsidP="00592A97">
      <w:r w:rsidRPr="00B33FD2">
        <w:rPr>
          <w:b/>
        </w:rPr>
        <w:t xml:space="preserve">Proposal: </w:t>
      </w:r>
      <w:r>
        <w:t>NR should be designed such that it can operate on carriers that are not available continuously. Persistent transmission of signals with high frequency and inability to operate without fixed timing relationships should be avoided.</w:t>
      </w:r>
    </w:p>
    <w:p w14:paraId="72138923" w14:textId="77777777" w:rsidR="00592A97" w:rsidRPr="00246230" w:rsidRDefault="00592A97" w:rsidP="00AE069B"/>
    <w:p w14:paraId="7280E5B8" w14:textId="77777777" w:rsidR="00AE069B" w:rsidRPr="00B33FD2" w:rsidRDefault="00AE069B" w:rsidP="00AE069B"/>
    <w:p w14:paraId="55F9B429" w14:textId="77777777" w:rsidR="00AE069B" w:rsidRPr="00AA6868" w:rsidRDefault="00AE069B" w:rsidP="00AA6868">
      <w:pPr>
        <w:rPr>
          <w:b/>
        </w:rPr>
      </w:pPr>
    </w:p>
    <w:p w14:paraId="67816D85" w14:textId="77777777" w:rsidR="000F0ED3" w:rsidRDefault="00F73844" w:rsidP="000F0ED3">
      <w:pPr>
        <w:pStyle w:val="Heading1"/>
        <w:rPr>
          <w:b/>
          <w:bCs/>
        </w:rPr>
      </w:pPr>
      <w:r>
        <w:rPr>
          <w:b/>
          <w:bCs/>
        </w:rPr>
        <w:lastRenderedPageBreak/>
        <w:t xml:space="preserve">References </w:t>
      </w:r>
    </w:p>
    <w:p w14:paraId="6B538558" w14:textId="76CD3A20" w:rsidR="00F73844" w:rsidRDefault="00F73844" w:rsidP="00F73844">
      <w:pPr>
        <w:widowControl w:val="0"/>
        <w:numPr>
          <w:ilvl w:val="0"/>
          <w:numId w:val="4"/>
        </w:numPr>
        <w:spacing w:before="120"/>
        <w:jc w:val="both"/>
        <w:rPr>
          <w:szCs w:val="20"/>
          <w:lang w:eastAsia="ja-JP"/>
        </w:rPr>
      </w:pPr>
      <w:r>
        <w:rPr>
          <w:szCs w:val="20"/>
          <w:lang w:eastAsia="ja-JP"/>
        </w:rPr>
        <w:t xml:space="preserve">Chairman’s </w:t>
      </w:r>
      <w:r w:rsidR="007447B5">
        <w:rPr>
          <w:szCs w:val="20"/>
          <w:lang w:eastAsia="ja-JP"/>
        </w:rPr>
        <w:t>Notes, RAN1#86bis</w:t>
      </w:r>
    </w:p>
    <w:p w14:paraId="3A3BC327" w14:textId="3A1596A4" w:rsidR="006836AC" w:rsidRDefault="006836AC" w:rsidP="00F73844">
      <w:pPr>
        <w:widowControl w:val="0"/>
        <w:numPr>
          <w:ilvl w:val="0"/>
          <w:numId w:val="4"/>
        </w:numPr>
        <w:spacing w:before="120"/>
        <w:jc w:val="both"/>
        <w:rPr>
          <w:szCs w:val="20"/>
          <w:lang w:eastAsia="ja-JP"/>
        </w:rPr>
      </w:pPr>
      <w:bookmarkStart w:id="4" w:name="_Ref471667260"/>
      <w:r>
        <w:rPr>
          <w:szCs w:val="20"/>
          <w:lang w:eastAsia="ja-JP"/>
        </w:rPr>
        <w:t>R1-1612775, “On Coexistence Between LTE and NR”, Ericsson</w:t>
      </w:r>
      <w:bookmarkEnd w:id="4"/>
    </w:p>
    <w:p w14:paraId="6940DB9B" w14:textId="3ED2E068" w:rsidR="006836AC" w:rsidRDefault="006836AC" w:rsidP="00F73844">
      <w:pPr>
        <w:widowControl w:val="0"/>
        <w:numPr>
          <w:ilvl w:val="0"/>
          <w:numId w:val="4"/>
        </w:numPr>
        <w:spacing w:before="120"/>
        <w:jc w:val="both"/>
        <w:rPr>
          <w:szCs w:val="20"/>
          <w:lang w:eastAsia="ja-JP"/>
        </w:rPr>
      </w:pPr>
      <w:r>
        <w:rPr>
          <w:szCs w:val="20"/>
          <w:lang w:eastAsia="ja-JP"/>
        </w:rPr>
        <w:t>Chairman’s Notes, RAN1#87</w:t>
      </w:r>
    </w:p>
    <w:p w14:paraId="3AF7D038" w14:textId="22349528" w:rsidR="00EC79EC" w:rsidRPr="00FF2FA9" w:rsidRDefault="00EC79EC" w:rsidP="00F73844">
      <w:pPr>
        <w:widowControl w:val="0"/>
        <w:numPr>
          <w:ilvl w:val="0"/>
          <w:numId w:val="4"/>
        </w:numPr>
        <w:spacing w:before="120"/>
        <w:jc w:val="both"/>
        <w:rPr>
          <w:szCs w:val="20"/>
          <w:lang w:eastAsia="ja-JP"/>
        </w:rPr>
      </w:pPr>
      <w:bookmarkStart w:id="5" w:name="_Ref471669825"/>
      <w:r>
        <w:rPr>
          <w:szCs w:val="20"/>
          <w:lang w:eastAsia="ja-JP"/>
        </w:rPr>
        <w:t>R1-1612904, “On Mini-Slots”, Ericsson</w:t>
      </w:r>
      <w:bookmarkEnd w:id="5"/>
    </w:p>
    <w:p w14:paraId="7E2F6EBC" w14:textId="77777777" w:rsidR="00F73844" w:rsidRPr="00F73844" w:rsidRDefault="00F73844" w:rsidP="00F73844">
      <w:pPr>
        <w:pStyle w:val="BodyText"/>
      </w:pPr>
    </w:p>
    <w:p w14:paraId="7CB8268B" w14:textId="77777777" w:rsidR="00F73844" w:rsidRPr="00F73844" w:rsidRDefault="00F73844" w:rsidP="00F73844">
      <w:pPr>
        <w:pStyle w:val="BodyText"/>
      </w:pPr>
    </w:p>
    <w:p w14:paraId="3FAB9343" w14:textId="77777777" w:rsidR="00F73844" w:rsidRPr="00F73844" w:rsidRDefault="00F73844" w:rsidP="00F73844">
      <w:pPr>
        <w:pStyle w:val="BodyText"/>
      </w:pPr>
    </w:p>
    <w:p w14:paraId="343D596B" w14:textId="77777777" w:rsidR="00561E32" w:rsidRDefault="00561E32"/>
    <w:p w14:paraId="309C1CD0" w14:textId="77777777" w:rsidR="00561E32" w:rsidRPr="00CD1C6F" w:rsidRDefault="00561E32"/>
    <w:sectPr w:rsidR="00561E32" w:rsidRPr="00CD1C6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8831A7"/>
    <w:multiLevelType w:val="hybridMultilevel"/>
    <w:tmpl w:val="2758D734"/>
    <w:lvl w:ilvl="0" w:tplc="71DED7FE">
      <w:start w:val="1"/>
      <w:numFmt w:val="bullet"/>
      <w:lvlText w:val="•"/>
      <w:lvlJc w:val="left"/>
      <w:pPr>
        <w:tabs>
          <w:tab w:val="num" w:pos="720"/>
        </w:tabs>
        <w:ind w:left="720" w:hanging="360"/>
      </w:pPr>
      <w:rPr>
        <w:rFonts w:ascii="Arial" w:hAnsi="Arial" w:hint="default"/>
      </w:rPr>
    </w:lvl>
    <w:lvl w:ilvl="1" w:tplc="CE1CC222">
      <w:start w:val="152"/>
      <w:numFmt w:val="bullet"/>
      <w:lvlText w:val="–"/>
      <w:lvlJc w:val="left"/>
      <w:pPr>
        <w:tabs>
          <w:tab w:val="num" w:pos="1440"/>
        </w:tabs>
        <w:ind w:left="1440" w:hanging="360"/>
      </w:pPr>
      <w:rPr>
        <w:rFonts w:ascii="Arial" w:hAnsi="Arial" w:hint="default"/>
      </w:rPr>
    </w:lvl>
    <w:lvl w:ilvl="2" w:tplc="1E48FFCE">
      <w:start w:val="152"/>
      <w:numFmt w:val="bullet"/>
      <w:lvlText w:val="•"/>
      <w:lvlJc w:val="left"/>
      <w:pPr>
        <w:tabs>
          <w:tab w:val="num" w:pos="2160"/>
        </w:tabs>
        <w:ind w:left="2160" w:hanging="360"/>
      </w:pPr>
      <w:rPr>
        <w:rFonts w:ascii="Arial" w:hAnsi="Arial" w:hint="default"/>
      </w:rPr>
    </w:lvl>
    <w:lvl w:ilvl="3" w:tplc="480C8018" w:tentative="1">
      <w:start w:val="1"/>
      <w:numFmt w:val="bullet"/>
      <w:lvlText w:val="•"/>
      <w:lvlJc w:val="left"/>
      <w:pPr>
        <w:tabs>
          <w:tab w:val="num" w:pos="2880"/>
        </w:tabs>
        <w:ind w:left="2880" w:hanging="360"/>
      </w:pPr>
      <w:rPr>
        <w:rFonts w:ascii="Arial" w:hAnsi="Arial" w:hint="default"/>
      </w:rPr>
    </w:lvl>
    <w:lvl w:ilvl="4" w:tplc="B686C0A4" w:tentative="1">
      <w:start w:val="1"/>
      <w:numFmt w:val="bullet"/>
      <w:lvlText w:val="•"/>
      <w:lvlJc w:val="left"/>
      <w:pPr>
        <w:tabs>
          <w:tab w:val="num" w:pos="3600"/>
        </w:tabs>
        <w:ind w:left="3600" w:hanging="360"/>
      </w:pPr>
      <w:rPr>
        <w:rFonts w:ascii="Arial" w:hAnsi="Arial" w:hint="default"/>
      </w:rPr>
    </w:lvl>
    <w:lvl w:ilvl="5" w:tplc="CEAEA6E2" w:tentative="1">
      <w:start w:val="1"/>
      <w:numFmt w:val="bullet"/>
      <w:lvlText w:val="•"/>
      <w:lvlJc w:val="left"/>
      <w:pPr>
        <w:tabs>
          <w:tab w:val="num" w:pos="4320"/>
        </w:tabs>
        <w:ind w:left="4320" w:hanging="360"/>
      </w:pPr>
      <w:rPr>
        <w:rFonts w:ascii="Arial" w:hAnsi="Arial" w:hint="default"/>
      </w:rPr>
    </w:lvl>
    <w:lvl w:ilvl="6" w:tplc="D13EB410" w:tentative="1">
      <w:start w:val="1"/>
      <w:numFmt w:val="bullet"/>
      <w:lvlText w:val="•"/>
      <w:lvlJc w:val="left"/>
      <w:pPr>
        <w:tabs>
          <w:tab w:val="num" w:pos="5040"/>
        </w:tabs>
        <w:ind w:left="5040" w:hanging="360"/>
      </w:pPr>
      <w:rPr>
        <w:rFonts w:ascii="Arial" w:hAnsi="Arial" w:hint="default"/>
      </w:rPr>
    </w:lvl>
    <w:lvl w:ilvl="7" w:tplc="52E80B20" w:tentative="1">
      <w:start w:val="1"/>
      <w:numFmt w:val="bullet"/>
      <w:lvlText w:val="•"/>
      <w:lvlJc w:val="left"/>
      <w:pPr>
        <w:tabs>
          <w:tab w:val="num" w:pos="5760"/>
        </w:tabs>
        <w:ind w:left="5760" w:hanging="360"/>
      </w:pPr>
      <w:rPr>
        <w:rFonts w:ascii="Arial" w:hAnsi="Arial" w:hint="default"/>
      </w:rPr>
    </w:lvl>
    <w:lvl w:ilvl="8" w:tplc="0C18753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40F779F2"/>
    <w:multiLevelType w:val="hybridMultilevel"/>
    <w:tmpl w:val="E392EFFE"/>
    <w:lvl w:ilvl="0" w:tplc="E2D21068">
      <w:start w:val="6"/>
      <w:numFmt w:val="bullet"/>
      <w:lvlText w:val="-"/>
      <w:lvlJc w:val="left"/>
      <w:pPr>
        <w:ind w:left="360" w:hanging="360"/>
      </w:pPr>
      <w:rPr>
        <w:rFonts w:ascii="Times New Roman" w:eastAsia="MS Mincho"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434C7E54"/>
    <w:multiLevelType w:val="hybridMultilevel"/>
    <w:tmpl w:val="5550724A"/>
    <w:lvl w:ilvl="0" w:tplc="09A8F1E4">
      <w:start w:val="1"/>
      <w:numFmt w:val="bullet"/>
      <w:lvlText w:val="•"/>
      <w:lvlJc w:val="left"/>
      <w:pPr>
        <w:tabs>
          <w:tab w:val="num" w:pos="360"/>
        </w:tabs>
        <w:ind w:left="360" w:hanging="360"/>
      </w:pPr>
      <w:rPr>
        <w:rFonts w:ascii="Arial" w:hAnsi="Arial" w:hint="default"/>
      </w:rPr>
    </w:lvl>
    <w:lvl w:ilvl="1" w:tplc="42063114">
      <w:start w:val="1"/>
      <w:numFmt w:val="bullet"/>
      <w:lvlText w:val="•"/>
      <w:lvlJc w:val="left"/>
      <w:pPr>
        <w:tabs>
          <w:tab w:val="num" w:pos="1080"/>
        </w:tabs>
        <w:ind w:left="1080" w:hanging="360"/>
      </w:pPr>
      <w:rPr>
        <w:rFonts w:ascii="Arial" w:hAnsi="Arial" w:hint="default"/>
      </w:rPr>
    </w:lvl>
    <w:lvl w:ilvl="2" w:tplc="3D8C8956">
      <w:start w:val="1216"/>
      <w:numFmt w:val="bullet"/>
      <w:lvlText w:val="•"/>
      <w:lvlJc w:val="left"/>
      <w:pPr>
        <w:tabs>
          <w:tab w:val="num" w:pos="1800"/>
        </w:tabs>
        <w:ind w:left="1800" w:hanging="360"/>
      </w:pPr>
      <w:rPr>
        <w:rFonts w:ascii="Arial" w:hAnsi="Arial" w:hint="default"/>
      </w:rPr>
    </w:lvl>
    <w:lvl w:ilvl="3" w:tplc="3ED2481A">
      <w:start w:val="1"/>
      <w:numFmt w:val="bullet"/>
      <w:lvlText w:val="•"/>
      <w:lvlJc w:val="left"/>
      <w:pPr>
        <w:tabs>
          <w:tab w:val="num" w:pos="2520"/>
        </w:tabs>
        <w:ind w:left="2520" w:hanging="360"/>
      </w:pPr>
      <w:rPr>
        <w:rFonts w:ascii="Arial" w:hAnsi="Arial" w:hint="default"/>
      </w:rPr>
    </w:lvl>
    <w:lvl w:ilvl="4" w:tplc="7B6AFAFE">
      <w:start w:val="1"/>
      <w:numFmt w:val="bullet"/>
      <w:lvlText w:val="•"/>
      <w:lvlJc w:val="left"/>
      <w:pPr>
        <w:tabs>
          <w:tab w:val="num" w:pos="3240"/>
        </w:tabs>
        <w:ind w:left="3240" w:hanging="360"/>
      </w:pPr>
      <w:rPr>
        <w:rFonts w:ascii="Arial" w:hAnsi="Arial" w:hint="default"/>
      </w:rPr>
    </w:lvl>
    <w:lvl w:ilvl="5" w:tplc="8AA2E5A0" w:tentative="1">
      <w:start w:val="1"/>
      <w:numFmt w:val="bullet"/>
      <w:lvlText w:val="•"/>
      <w:lvlJc w:val="left"/>
      <w:pPr>
        <w:tabs>
          <w:tab w:val="num" w:pos="3960"/>
        </w:tabs>
        <w:ind w:left="3960" w:hanging="360"/>
      </w:pPr>
      <w:rPr>
        <w:rFonts w:ascii="Arial" w:hAnsi="Arial" w:hint="default"/>
      </w:rPr>
    </w:lvl>
    <w:lvl w:ilvl="6" w:tplc="E4E60B86" w:tentative="1">
      <w:start w:val="1"/>
      <w:numFmt w:val="bullet"/>
      <w:lvlText w:val="•"/>
      <w:lvlJc w:val="left"/>
      <w:pPr>
        <w:tabs>
          <w:tab w:val="num" w:pos="4680"/>
        </w:tabs>
        <w:ind w:left="4680" w:hanging="360"/>
      </w:pPr>
      <w:rPr>
        <w:rFonts w:ascii="Arial" w:hAnsi="Arial" w:hint="default"/>
      </w:rPr>
    </w:lvl>
    <w:lvl w:ilvl="7" w:tplc="805A7F38" w:tentative="1">
      <w:start w:val="1"/>
      <w:numFmt w:val="bullet"/>
      <w:lvlText w:val="•"/>
      <w:lvlJc w:val="left"/>
      <w:pPr>
        <w:tabs>
          <w:tab w:val="num" w:pos="5400"/>
        </w:tabs>
        <w:ind w:left="5400" w:hanging="360"/>
      </w:pPr>
      <w:rPr>
        <w:rFonts w:ascii="Arial" w:hAnsi="Arial" w:hint="default"/>
      </w:rPr>
    </w:lvl>
    <w:lvl w:ilvl="8" w:tplc="E8E40E8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4FE66DDD"/>
    <w:multiLevelType w:val="hybridMultilevel"/>
    <w:tmpl w:val="04DCE2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75F504C2"/>
    <w:multiLevelType w:val="hybridMultilevel"/>
    <w:tmpl w:val="AA3E8E44"/>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7BED18BC"/>
    <w:multiLevelType w:val="multilevel"/>
    <w:tmpl w:val="32FEA0A4"/>
    <w:lvl w:ilvl="0">
      <w:start w:val="1"/>
      <w:numFmt w:val="decimal"/>
      <w:pStyle w:val="Heading1"/>
      <w:lvlText w:val="%1."/>
      <w:lvlJc w:val="left"/>
      <w:pPr>
        <w:tabs>
          <w:tab w:val="num" w:pos="567"/>
        </w:tabs>
        <w:ind w:left="567" w:hanging="567"/>
      </w:pPr>
      <w:rPr>
        <w:strike w:val="0"/>
        <w:dstrike w:val="0"/>
        <w:u w:val="none"/>
        <w:effect w:val="none"/>
      </w:rPr>
    </w:lvl>
    <w:lvl w:ilvl="1">
      <w:start w:val="1"/>
      <w:numFmt w:val="decimal"/>
      <w:pStyle w:val="Heading2"/>
      <w:lvlText w:val="%1.%2."/>
      <w:lvlJc w:val="left"/>
      <w:pPr>
        <w:tabs>
          <w:tab w:val="num" w:pos="3447"/>
        </w:tabs>
        <w:ind w:left="3447" w:hanging="567"/>
      </w:pPr>
      <w:rPr>
        <w:strike w:val="0"/>
        <w:dstrike w:val="0"/>
        <w:u w:val="none"/>
        <w:effect w:val="none"/>
      </w:rPr>
    </w:lvl>
    <w:lvl w:ilvl="2">
      <w:start w:val="1"/>
      <w:numFmt w:val="decimal"/>
      <w:pStyle w:val="Heading3"/>
      <w:lvlText w:val="%1.%2.%3"/>
      <w:lvlJc w:val="left"/>
      <w:pPr>
        <w:tabs>
          <w:tab w:val="num" w:pos="-1247"/>
        </w:tabs>
        <w:ind w:left="1304" w:hanging="1304"/>
      </w:pPr>
      <w:rPr>
        <w:strike w:val="0"/>
        <w:dstrike w:val="0"/>
        <w:u w:val="none"/>
        <w:effect w:val="none"/>
      </w:rPr>
    </w:lvl>
    <w:lvl w:ilvl="3">
      <w:start w:val="1"/>
      <w:numFmt w:val="decimal"/>
      <w:pStyle w:val="Heading4"/>
      <w:lvlText w:val="%1.%2.%3.%4"/>
      <w:lvlJc w:val="left"/>
      <w:pPr>
        <w:tabs>
          <w:tab w:val="num" w:pos="-1247"/>
        </w:tabs>
        <w:ind w:left="1304" w:hanging="1304"/>
      </w:pPr>
      <w:rPr>
        <w:strike w:val="0"/>
        <w:dstrike w:val="0"/>
        <w:u w:val="none"/>
        <w:effect w:val="none"/>
      </w:rPr>
    </w:lvl>
    <w:lvl w:ilvl="4">
      <w:start w:val="1"/>
      <w:numFmt w:val="decimal"/>
      <w:lvlText w:val="%1.%2.%3.%4.%5"/>
      <w:lvlJc w:val="left"/>
      <w:pPr>
        <w:tabs>
          <w:tab w:val="num" w:pos="-1247"/>
        </w:tabs>
        <w:ind w:left="-1247" w:firstLine="0"/>
      </w:pPr>
    </w:lvl>
    <w:lvl w:ilvl="5">
      <w:start w:val="1"/>
      <w:numFmt w:val="decimal"/>
      <w:lvlText w:val="%1.%2.%3.%4.%5.%6"/>
      <w:lvlJc w:val="left"/>
      <w:pPr>
        <w:tabs>
          <w:tab w:val="num" w:pos="-1247"/>
        </w:tabs>
        <w:ind w:left="-1247" w:firstLine="0"/>
      </w:pPr>
    </w:lvl>
    <w:lvl w:ilvl="6">
      <w:start w:val="1"/>
      <w:numFmt w:val="decimal"/>
      <w:lvlText w:val="%1.%2.%3.%4.%5.%6.%7"/>
      <w:lvlJc w:val="left"/>
      <w:pPr>
        <w:tabs>
          <w:tab w:val="num" w:pos="-1247"/>
        </w:tabs>
        <w:ind w:left="-1247" w:firstLine="0"/>
      </w:pPr>
    </w:lvl>
    <w:lvl w:ilvl="7">
      <w:start w:val="1"/>
      <w:numFmt w:val="decimal"/>
      <w:lvlText w:val="%1.%2.%3.%4.%5.%6.%7.%8"/>
      <w:lvlJc w:val="left"/>
      <w:pPr>
        <w:tabs>
          <w:tab w:val="num" w:pos="-1247"/>
        </w:tabs>
        <w:ind w:left="-1247" w:firstLine="0"/>
      </w:pPr>
    </w:lvl>
    <w:lvl w:ilvl="8">
      <w:start w:val="1"/>
      <w:numFmt w:val="decimal"/>
      <w:lvlText w:val="%1.%2.%3.%4.%5.%6.%7.%8.%9"/>
      <w:lvlJc w:val="left"/>
      <w:pPr>
        <w:tabs>
          <w:tab w:val="num" w:pos="-1247"/>
        </w:tabs>
        <w:ind w:left="-1247" w:firstLine="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4"/>
  </w:num>
  <w:num w:numId="4">
    <w:abstractNumId w:val="1"/>
  </w:num>
  <w:num w:numId="5">
    <w:abstractNumId w:val="0"/>
  </w:num>
  <w:num w:numId="6">
    <w:abstractNumId w:val="6"/>
  </w:num>
  <w:num w:numId="7">
    <w:abstractNumId w:val="2"/>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2"/>
  <w:doNotDisplayPageBoundaries/>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ED3"/>
    <w:rsid w:val="00031AAA"/>
    <w:rsid w:val="00086A4B"/>
    <w:rsid w:val="000B35CC"/>
    <w:rsid w:val="000C15C2"/>
    <w:rsid w:val="000E353C"/>
    <w:rsid w:val="000F0ED3"/>
    <w:rsid w:val="001334D1"/>
    <w:rsid w:val="00161572"/>
    <w:rsid w:val="00187F81"/>
    <w:rsid w:val="00192C37"/>
    <w:rsid w:val="00246230"/>
    <w:rsid w:val="002755D9"/>
    <w:rsid w:val="00286F19"/>
    <w:rsid w:val="002C7AD7"/>
    <w:rsid w:val="00306015"/>
    <w:rsid w:val="00313591"/>
    <w:rsid w:val="00342EEB"/>
    <w:rsid w:val="00351C2C"/>
    <w:rsid w:val="00371ED4"/>
    <w:rsid w:val="00381AA2"/>
    <w:rsid w:val="00382C6F"/>
    <w:rsid w:val="003A1D7E"/>
    <w:rsid w:val="003B6363"/>
    <w:rsid w:val="003F74EA"/>
    <w:rsid w:val="00412572"/>
    <w:rsid w:val="004566A7"/>
    <w:rsid w:val="00515BD2"/>
    <w:rsid w:val="00535DE9"/>
    <w:rsid w:val="005429C0"/>
    <w:rsid w:val="005600AD"/>
    <w:rsid w:val="00561E32"/>
    <w:rsid w:val="00592A97"/>
    <w:rsid w:val="005B45F7"/>
    <w:rsid w:val="005C1FFB"/>
    <w:rsid w:val="005E22B9"/>
    <w:rsid w:val="005F3BBF"/>
    <w:rsid w:val="00610915"/>
    <w:rsid w:val="00631D33"/>
    <w:rsid w:val="00637C56"/>
    <w:rsid w:val="006836AC"/>
    <w:rsid w:val="007447B5"/>
    <w:rsid w:val="00747500"/>
    <w:rsid w:val="00766547"/>
    <w:rsid w:val="00766E0F"/>
    <w:rsid w:val="00766F6B"/>
    <w:rsid w:val="007849F1"/>
    <w:rsid w:val="00794EA4"/>
    <w:rsid w:val="007B330C"/>
    <w:rsid w:val="007E212B"/>
    <w:rsid w:val="00816C6C"/>
    <w:rsid w:val="00834A0C"/>
    <w:rsid w:val="00840832"/>
    <w:rsid w:val="00902F26"/>
    <w:rsid w:val="00930ECB"/>
    <w:rsid w:val="00954B09"/>
    <w:rsid w:val="00A76D87"/>
    <w:rsid w:val="00AA6868"/>
    <w:rsid w:val="00AE069B"/>
    <w:rsid w:val="00B16A2C"/>
    <w:rsid w:val="00B33FD2"/>
    <w:rsid w:val="00B45314"/>
    <w:rsid w:val="00B57761"/>
    <w:rsid w:val="00BA2C70"/>
    <w:rsid w:val="00BE732C"/>
    <w:rsid w:val="00BF57FF"/>
    <w:rsid w:val="00C15550"/>
    <w:rsid w:val="00C301A8"/>
    <w:rsid w:val="00C7126F"/>
    <w:rsid w:val="00C8212E"/>
    <w:rsid w:val="00C92365"/>
    <w:rsid w:val="00CA4D04"/>
    <w:rsid w:val="00CD1C6F"/>
    <w:rsid w:val="00D14173"/>
    <w:rsid w:val="00D22F05"/>
    <w:rsid w:val="00D50797"/>
    <w:rsid w:val="00D81AAA"/>
    <w:rsid w:val="00DB1F66"/>
    <w:rsid w:val="00DC1E14"/>
    <w:rsid w:val="00E558C4"/>
    <w:rsid w:val="00EC79EC"/>
    <w:rsid w:val="00ED433C"/>
    <w:rsid w:val="00ED4710"/>
    <w:rsid w:val="00EE2A70"/>
    <w:rsid w:val="00F63631"/>
    <w:rsid w:val="00F73844"/>
    <w:rsid w:val="00F75384"/>
    <w:rsid w:val="00F767E4"/>
    <w:rsid w:val="00FA321F"/>
    <w:rsid w:val="00FE0A4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EB28A9"/>
  <w15:chartTrackingRefBased/>
  <w15:docId w15:val="{8EE1E48C-3524-4FB0-A4ED-0892293DF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0F0ED3"/>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0F0ED3"/>
    <w:pPr>
      <w:keepNext/>
      <w:numPr>
        <w:numId w:val="1"/>
      </w:numPr>
      <w:spacing w:before="240" w:after="60"/>
      <w:outlineLvl w:val="0"/>
    </w:pPr>
    <w:rPr>
      <w:rFonts w:ascii="Helvetica" w:eastAsia="MS Mincho" w:hAnsi="Helvetica" w:cs="Arial"/>
      <w:kern w:val="32"/>
      <w:sz w:val="28"/>
      <w:szCs w:val="32"/>
    </w:rPr>
  </w:style>
  <w:style w:type="paragraph" w:styleId="Heading2">
    <w:name w:val="heading 2"/>
    <w:aliases w:val="Head2A,2,H2,UNDERRUBRIK 1-2,DO NOT USE_h2,h2,h21,H2 Char,h2 Char"/>
    <w:basedOn w:val="Normal"/>
    <w:next w:val="BodyText"/>
    <w:link w:val="Heading2Char"/>
    <w:semiHidden/>
    <w:unhideWhenUsed/>
    <w:qFormat/>
    <w:rsid w:val="000F0ED3"/>
    <w:pPr>
      <w:keepNext/>
      <w:numPr>
        <w:ilvl w:val="1"/>
        <w:numId w:val="1"/>
      </w:numPr>
      <w:spacing w:before="240" w:after="60"/>
      <w:ind w:left="567"/>
      <w:outlineLvl w:val="1"/>
    </w:pPr>
    <w:rPr>
      <w:rFonts w:ascii="Helvetica" w:eastAsia="MS Mincho" w:hAnsi="Helvetica" w:cs="Arial"/>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semiHidden/>
    <w:unhideWhenUsed/>
    <w:qFormat/>
    <w:rsid w:val="000F0ED3"/>
    <w:pPr>
      <w:keepNext/>
      <w:numPr>
        <w:ilvl w:val="2"/>
        <w:numId w:val="1"/>
      </w:numPr>
      <w:spacing w:before="240" w:after="60"/>
      <w:outlineLvl w:val="2"/>
    </w:pPr>
    <w:rPr>
      <w:rFonts w:ascii="Arial" w:eastAsia="MS Mincho" w:hAnsi="Arial" w:cs="Arial"/>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semiHidden/>
    <w:unhideWhenUsed/>
    <w:qFormat/>
    <w:rsid w:val="000F0ED3"/>
    <w:pPr>
      <w:keepNext/>
      <w:numPr>
        <w:ilvl w:val="3"/>
        <w:numId w:val="1"/>
      </w:numPr>
      <w:spacing w:before="240" w:after="60"/>
      <w:outlineLvl w:val="3"/>
    </w:pPr>
    <w:rPr>
      <w:rFonts w:eastAsia="MS Mincho"/>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F0ED3"/>
    <w:rPr>
      <w:rFonts w:ascii="Helvetica" w:eastAsia="MS Mincho" w:hAnsi="Helvetica" w:cs="Arial"/>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semiHidden/>
    <w:rsid w:val="000F0ED3"/>
    <w:rPr>
      <w:rFonts w:ascii="Helvetica" w:eastAsia="MS Mincho" w:hAnsi="Helvetica" w:cs="Arial"/>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semiHidden/>
    <w:rsid w:val="000F0ED3"/>
    <w:rPr>
      <w:rFonts w:ascii="Arial" w:eastAsia="MS Mincho" w:hAnsi="Arial" w:cs="Arial"/>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F0ED3"/>
    <w:rPr>
      <w:rFonts w:ascii="Times New Roman" w:eastAsia="MS Mincho" w:hAnsi="Times New Roman" w:cs="Times New Roman"/>
      <w:sz w:val="28"/>
      <w:szCs w:val="28"/>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0F0ED3"/>
    <w:rPr>
      <w:rFonts w:ascii="Arial" w:eastAsia="MS Mincho" w:hAnsi="Arial" w:cs="Times New Roman"/>
      <w:b/>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0F0ED3"/>
    <w:pPr>
      <w:tabs>
        <w:tab w:val="center" w:pos="4536"/>
        <w:tab w:val="right" w:pos="9072"/>
      </w:tabs>
    </w:pPr>
    <w:rPr>
      <w:rFonts w:ascii="Arial" w:eastAsia="MS Mincho" w:hAnsi="Arial"/>
      <w:b/>
    </w:rPr>
  </w:style>
  <w:style w:type="character" w:customStyle="1" w:styleId="HeaderChar1">
    <w:name w:val="Header Char1"/>
    <w:basedOn w:val="DefaultParagraphFont"/>
    <w:uiPriority w:val="99"/>
    <w:semiHidden/>
    <w:rsid w:val="000F0ED3"/>
    <w:rPr>
      <w:rFonts w:ascii="Times New Roman" w:eastAsia="Times New Roman" w:hAnsi="Times New Roman" w:cs="Times New Roman"/>
      <w:sz w:val="20"/>
      <w:szCs w:val="24"/>
      <w:lang w:val="en-US"/>
    </w:rPr>
  </w:style>
  <w:style w:type="paragraph" w:styleId="BodyText">
    <w:name w:val="Body Text"/>
    <w:basedOn w:val="Normal"/>
    <w:link w:val="BodyTextChar"/>
    <w:uiPriority w:val="99"/>
    <w:unhideWhenUsed/>
    <w:rsid w:val="000F0ED3"/>
    <w:pPr>
      <w:spacing w:after="120"/>
    </w:pPr>
  </w:style>
  <w:style w:type="character" w:customStyle="1" w:styleId="BodyTextChar">
    <w:name w:val="Body Text Char"/>
    <w:basedOn w:val="DefaultParagraphFont"/>
    <w:link w:val="BodyText"/>
    <w:uiPriority w:val="99"/>
    <w:rsid w:val="000F0ED3"/>
    <w:rPr>
      <w:rFonts w:ascii="Times New Roman" w:eastAsia="Times New Roman" w:hAnsi="Times New Roman" w:cs="Times New Roman"/>
      <w:sz w:val="20"/>
      <w:szCs w:val="24"/>
      <w:lang w:val="en-US"/>
    </w:rPr>
  </w:style>
  <w:style w:type="paragraph" w:styleId="Caption">
    <w:name w:val="caption"/>
    <w:basedOn w:val="Normal"/>
    <w:next w:val="Normal"/>
    <w:uiPriority w:val="35"/>
    <w:unhideWhenUsed/>
    <w:qFormat/>
    <w:rsid w:val="004566A7"/>
    <w:pPr>
      <w:spacing w:after="200"/>
    </w:pPr>
    <w:rPr>
      <w:i/>
      <w:iCs/>
      <w:color w:val="1F497D" w:themeColor="text2"/>
      <w:sz w:val="18"/>
      <w:szCs w:val="18"/>
    </w:rPr>
  </w:style>
  <w:style w:type="character" w:styleId="CommentReference">
    <w:name w:val="annotation reference"/>
    <w:basedOn w:val="DefaultParagraphFont"/>
    <w:uiPriority w:val="99"/>
    <w:semiHidden/>
    <w:unhideWhenUsed/>
    <w:rsid w:val="00B45314"/>
    <w:rPr>
      <w:sz w:val="16"/>
      <w:szCs w:val="16"/>
    </w:rPr>
  </w:style>
  <w:style w:type="paragraph" w:styleId="CommentText">
    <w:name w:val="annotation text"/>
    <w:basedOn w:val="Normal"/>
    <w:link w:val="CommentTextChar"/>
    <w:uiPriority w:val="99"/>
    <w:semiHidden/>
    <w:unhideWhenUsed/>
    <w:rsid w:val="00B45314"/>
    <w:rPr>
      <w:szCs w:val="20"/>
    </w:rPr>
  </w:style>
  <w:style w:type="character" w:customStyle="1" w:styleId="CommentTextChar">
    <w:name w:val="Comment Text Char"/>
    <w:basedOn w:val="DefaultParagraphFont"/>
    <w:link w:val="CommentText"/>
    <w:uiPriority w:val="99"/>
    <w:semiHidden/>
    <w:rsid w:val="00B45314"/>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45314"/>
    <w:rPr>
      <w:b/>
      <w:bCs/>
    </w:rPr>
  </w:style>
  <w:style w:type="character" w:customStyle="1" w:styleId="CommentSubjectChar">
    <w:name w:val="Comment Subject Char"/>
    <w:basedOn w:val="CommentTextChar"/>
    <w:link w:val="CommentSubject"/>
    <w:uiPriority w:val="99"/>
    <w:semiHidden/>
    <w:rsid w:val="00B45314"/>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B453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5314"/>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15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3BAC7A-3F46-4EEA-8E53-E44EA9174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Pages>
  <Words>1753</Words>
  <Characters>9291</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Efthymios Stathakis</dc:creator>
  <cp:keywords/>
  <dc:description/>
  <cp:lastModifiedBy>Daniel Larsson</cp:lastModifiedBy>
  <cp:revision>15</cp:revision>
  <dcterms:created xsi:type="dcterms:W3CDTF">2017-01-08T09:39:00Z</dcterms:created>
  <dcterms:modified xsi:type="dcterms:W3CDTF">2017-01-09T18:37:00Z</dcterms:modified>
</cp:coreProperties>
</file>